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ADA4" w14:textId="0F6B78C3" w:rsidR="002D2DF7" w:rsidRPr="0048681D" w:rsidRDefault="002044E4" w:rsidP="003E02C1">
      <w:pPr>
        <w:jc w:val="center"/>
      </w:pPr>
      <w:bookmarkStart w:id="0" w:name="OLE_LINK1"/>
      <w:bookmarkStart w:id="1" w:name="OLE_LINK2"/>
      <w:r>
        <w:rPr>
          <w:b/>
          <w:bCs/>
          <w:color w:val="2F5496" w:themeColor="accent1" w:themeShade="BF"/>
          <w:sz w:val="32"/>
          <w:szCs w:val="32"/>
        </w:rPr>
        <w:t>Смедеревска Паланка</w:t>
      </w:r>
    </w:p>
    <w:p w14:paraId="2BB4600B" w14:textId="60BB257E" w:rsidR="002D2DF7" w:rsidRPr="002D2DF7" w:rsidRDefault="00F76915" w:rsidP="003E02C1">
      <w:pPr>
        <w:jc w:val="center"/>
        <w:rPr>
          <w:color w:val="2F5496" w:themeColor="accent1" w:themeShade="BF"/>
          <w:w w:val="110"/>
        </w:rPr>
      </w:pPr>
      <w:r>
        <w:rPr>
          <w:rStyle w:val="Heading1Char"/>
          <w:rFonts w:ascii="Tahoma" w:hAnsi="Tahoma" w:cs="Tahoma"/>
          <w:color w:val="2F5496"/>
          <w:w w:val="110"/>
          <w:lang w:val="sr-Cyrl-RS"/>
        </w:rPr>
        <w:t>Економска и развојна политика и тржиште рада</w:t>
      </w:r>
    </w:p>
    <w:p w14:paraId="28553204" w14:textId="0E1E1557" w:rsidR="002044E4" w:rsidRDefault="003203DE" w:rsidP="002D41A3">
      <w:pPr>
        <w:rPr>
          <w:lang w:eastAsia="en-US"/>
        </w:rPr>
      </w:pPr>
      <w:r>
        <w:rPr>
          <w:lang w:eastAsia="en-US"/>
        </w:rPr>
        <w:t xml:space="preserve">Општина Смедеревска Паланка се, према важећој методологији, </w:t>
      </w:r>
      <w:r w:rsidRPr="003203DE">
        <w:rPr>
          <w:b/>
          <w:bCs/>
          <w:color w:val="2F5496"/>
          <w:lang w:eastAsia="en-US"/>
        </w:rPr>
        <w:t>сврстава у недовољно развијене локалне самоуправе</w:t>
      </w:r>
      <w:r>
        <w:rPr>
          <w:lang w:eastAsia="en-US"/>
        </w:rPr>
        <w:t>. То значи да је ниво развијености у распону 60-80% у односу на републички просек.</w:t>
      </w:r>
    </w:p>
    <w:p w14:paraId="31735ECF" w14:textId="5B91FFCA" w:rsidR="00CB406D" w:rsidRPr="00C1642E" w:rsidRDefault="00CB406D" w:rsidP="00CB406D">
      <w:pPr>
        <w:pStyle w:val="Heading2"/>
        <w:rPr>
          <w:rStyle w:val="Documenttitle"/>
        </w:rPr>
      </w:pPr>
      <w:r>
        <w:rPr>
          <w:rStyle w:val="Documenttitle"/>
        </w:rPr>
        <w:t xml:space="preserve">Мере и </w:t>
      </w:r>
      <w:r w:rsidRPr="00A96251">
        <w:rPr>
          <w:rStyle w:val="Documenttitle"/>
        </w:rPr>
        <w:t>активности</w:t>
      </w:r>
      <w:r>
        <w:rPr>
          <w:rStyle w:val="Documenttitle"/>
        </w:rPr>
        <w:t xml:space="preserve"> </w:t>
      </w:r>
      <w:r w:rsidR="003203DE">
        <w:rPr>
          <w:rStyle w:val="Documenttitle"/>
        </w:rPr>
        <w:t>општине Смедеревска Паланка</w:t>
      </w:r>
      <w:r w:rsidRPr="00C1642E">
        <w:rPr>
          <w:rStyle w:val="Documenttitle"/>
        </w:rPr>
        <w:t xml:space="preserve"> </w:t>
      </w:r>
      <w:r>
        <w:rPr>
          <w:rStyle w:val="Documenttitle"/>
        </w:rPr>
        <w:t>у области економске и развојне политике и тржишта рада</w:t>
      </w:r>
    </w:p>
    <w:p w14:paraId="3208FF1F" w14:textId="3C100CCA" w:rsidR="00CB406D" w:rsidRDefault="00CB406D" w:rsidP="00CB406D">
      <w:pPr>
        <w:pStyle w:val="Heading3"/>
      </w:pPr>
      <w:r>
        <w:t>Надлежни органи и установе</w:t>
      </w:r>
      <w:r w:rsidR="00AB70CE">
        <w:t xml:space="preserve"> на локалном нивоу</w:t>
      </w:r>
    </w:p>
    <w:p w14:paraId="4014F8E6" w14:textId="0174D4F1" w:rsidR="0073624E" w:rsidRDefault="0073624E" w:rsidP="00CB406D">
      <w:pPr>
        <w:rPr>
          <w:lang w:eastAsia="en-US"/>
        </w:rPr>
      </w:pPr>
      <w:r>
        <w:rPr>
          <w:lang w:eastAsia="en-US"/>
        </w:rPr>
        <w:t>У оквиру Општинске управе општине Смедеревска Паланка оформљене су унутрашње организационе јединице које врше сродне послове. Пословима у вези са унапређењем привредног и инвестиционог амбијента, развој</w:t>
      </w:r>
      <w:r w:rsidR="001252C1">
        <w:rPr>
          <w:lang w:eastAsia="en-US"/>
        </w:rPr>
        <w:t>ем</w:t>
      </w:r>
      <w:r>
        <w:rPr>
          <w:lang w:eastAsia="en-US"/>
        </w:rPr>
        <w:t xml:space="preserve"> туризма и спровођење</w:t>
      </w:r>
      <w:r w:rsidR="001252C1">
        <w:rPr>
          <w:lang w:eastAsia="en-US"/>
        </w:rPr>
        <w:t>м</w:t>
      </w:r>
      <w:r>
        <w:rPr>
          <w:lang w:eastAsia="en-US"/>
        </w:rPr>
        <w:t xml:space="preserve"> активних мера запошљавања бави се </w:t>
      </w:r>
      <w:r w:rsidRPr="00A81F51">
        <w:rPr>
          <w:b/>
          <w:bCs/>
          <w:color w:val="2F5496"/>
          <w:lang w:eastAsia="en-US"/>
        </w:rPr>
        <w:t>Одељење за локални економски развој, привреду и пољопривреду</w:t>
      </w:r>
      <w:r>
        <w:rPr>
          <w:lang w:eastAsia="en-US"/>
        </w:rPr>
        <w:t xml:space="preserve">. </w:t>
      </w:r>
      <w:r w:rsidR="001252C1">
        <w:rPr>
          <w:lang w:eastAsia="en-US"/>
        </w:rPr>
        <w:t>О</w:t>
      </w:r>
      <w:r>
        <w:rPr>
          <w:lang w:eastAsia="en-US"/>
        </w:rPr>
        <w:t xml:space="preserve">во одељење обавља </w:t>
      </w:r>
      <w:r w:rsidR="001252C1">
        <w:rPr>
          <w:lang w:eastAsia="en-US"/>
        </w:rPr>
        <w:t>следеће послове</w:t>
      </w:r>
      <w:r w:rsidR="00A81F51">
        <w:rPr>
          <w:rStyle w:val="FootnoteReference"/>
          <w:lang w:eastAsia="en-US"/>
        </w:rPr>
        <w:footnoteReference w:id="1"/>
      </w:r>
      <w:r>
        <w:rPr>
          <w:lang w:eastAsia="en-US"/>
        </w:rPr>
        <w:t>:</w:t>
      </w:r>
    </w:p>
    <w:p w14:paraId="4A9560AB" w14:textId="0266ADDF" w:rsidR="0073624E" w:rsidRDefault="00A81F51" w:rsidP="0073624E">
      <w:pPr>
        <w:pStyle w:val="Lista1"/>
      </w:pPr>
      <w:r>
        <w:t>Предлаже приоритете за инвестирање, иницира израду инвестиционих пројеката од значаја за Општину у области привреде, пољопривреде, шумарства и водопривреде, туризма, заштите животне средине и социјалне политике, и врши друге послове промоције Општине и привлачења инвеститора,</w:t>
      </w:r>
    </w:p>
    <w:p w14:paraId="68595944" w14:textId="32C0674F" w:rsidR="00A81F51" w:rsidRDefault="00A81F51" w:rsidP="0073624E">
      <w:pPr>
        <w:pStyle w:val="Lista1"/>
      </w:pPr>
      <w:r>
        <w:t>Учествује у изради стратегија, студија изводљивости, бизнис планова и сл. на реализацији пројеката и партнерстава,</w:t>
      </w:r>
    </w:p>
    <w:p w14:paraId="1A481C11" w14:textId="539DEBDE" w:rsidR="00A81F51" w:rsidRDefault="00A81F51" w:rsidP="0073624E">
      <w:pPr>
        <w:pStyle w:val="Lista1"/>
      </w:pPr>
      <w:r>
        <w:t>Пружа подршку привредним субјектима, нпр. у вези са регистрацијом предузећа, аплицирањем на јав</w:t>
      </w:r>
      <w:r w:rsidR="00DD61DE">
        <w:t>н</w:t>
      </w:r>
      <w:r>
        <w:t>е позиве и</w:t>
      </w:r>
      <w:r w:rsidR="00DD61DE">
        <w:t xml:space="preserve"> </w:t>
      </w:r>
      <w:r>
        <w:t>д</w:t>
      </w:r>
      <w:r w:rsidR="00DD61DE">
        <w:t>р</w:t>
      </w:r>
      <w:r>
        <w:t>,</w:t>
      </w:r>
    </w:p>
    <w:p w14:paraId="79C64FA3" w14:textId="4D67ED40" w:rsidR="00A81F51" w:rsidRPr="0073624E" w:rsidRDefault="00A81F51" w:rsidP="0073624E">
      <w:pPr>
        <w:pStyle w:val="Lista1"/>
      </w:pPr>
      <w:r>
        <w:t>Бави се пословима у вези пољопривреде и водопривреде, и обавља друге послове утврђене Статуом.</w:t>
      </w:r>
    </w:p>
    <w:p w14:paraId="5BB2064F" w14:textId="2F7186A6" w:rsidR="008B256A" w:rsidRDefault="00F24FE6" w:rsidP="00CB406D">
      <w:pPr>
        <w:rPr>
          <w:lang w:eastAsia="en-US"/>
        </w:rPr>
      </w:pPr>
      <w:r>
        <w:rPr>
          <w:lang w:eastAsia="en-US"/>
        </w:rPr>
        <w:t xml:space="preserve">У Одељењу за локални економски развој, привреду и пољопривреду систематизовано је </w:t>
      </w:r>
      <w:r w:rsidR="007A4DCD">
        <w:rPr>
          <w:lang w:eastAsia="en-US"/>
        </w:rPr>
        <w:t>9</w:t>
      </w:r>
      <w:r>
        <w:rPr>
          <w:lang w:eastAsia="en-US"/>
        </w:rPr>
        <w:t xml:space="preserve"> радних места, и то место начелника, </w:t>
      </w:r>
      <w:r w:rsidR="007A4DCD">
        <w:rPr>
          <w:lang w:eastAsia="en-US"/>
        </w:rPr>
        <w:t>3</w:t>
      </w:r>
      <w:r>
        <w:rPr>
          <w:lang w:eastAsia="en-US"/>
        </w:rPr>
        <w:t xml:space="preserve"> места у вези са припремом и реализацијом пројеката локалног економског развоја, </w:t>
      </w:r>
      <w:r w:rsidR="00AF14C7">
        <w:rPr>
          <w:lang w:eastAsia="en-US"/>
        </w:rPr>
        <w:t>1 место на стати</w:t>
      </w:r>
      <w:r w:rsidR="009F4D6E">
        <w:rPr>
          <w:lang w:eastAsia="en-US"/>
        </w:rPr>
        <w:t>сти</w:t>
      </w:r>
      <w:r w:rsidR="00AF14C7">
        <w:rPr>
          <w:lang w:eastAsia="en-US"/>
        </w:rPr>
        <w:t>чко-аналитичким пословима у вези са привредом</w:t>
      </w:r>
      <w:r w:rsidR="007A4DCD">
        <w:rPr>
          <w:lang w:eastAsia="en-US"/>
        </w:rPr>
        <w:t xml:space="preserve">, 1 место у области туризма, </w:t>
      </w:r>
      <w:r w:rsidR="00AF14C7">
        <w:rPr>
          <w:lang w:eastAsia="en-US"/>
        </w:rPr>
        <w:t>2 радна места у вези са пољопривредом</w:t>
      </w:r>
      <w:r w:rsidR="007A4DCD">
        <w:rPr>
          <w:lang w:eastAsia="en-US"/>
        </w:rPr>
        <w:t xml:space="preserve"> и 1 место у вези са енергетским менаџментом</w:t>
      </w:r>
      <w:r w:rsidR="007A4DCD">
        <w:rPr>
          <w:rStyle w:val="FootnoteReference"/>
          <w:lang w:eastAsia="en-US"/>
        </w:rPr>
        <w:footnoteReference w:id="2"/>
      </w:r>
      <w:r w:rsidR="00AF14C7">
        <w:rPr>
          <w:lang w:eastAsia="en-US"/>
        </w:rPr>
        <w:t xml:space="preserve">. </w:t>
      </w:r>
    </w:p>
    <w:p w14:paraId="4EBB1D80" w14:textId="436A3C08" w:rsidR="00AF14C7" w:rsidRDefault="0023383E" w:rsidP="00CB406D">
      <w:pPr>
        <w:rPr>
          <w:lang w:eastAsia="en-US"/>
        </w:rPr>
      </w:pPr>
      <w:r>
        <w:rPr>
          <w:lang w:eastAsia="en-US"/>
        </w:rPr>
        <w:t>Када је реч о активним мерама запошљавања, п</w:t>
      </w:r>
      <w:r w:rsidR="001B3A0B">
        <w:rPr>
          <w:lang w:eastAsia="en-US"/>
        </w:rPr>
        <w:t>оред Одељења за локални економски развој, привреду и пољопривреду</w:t>
      </w:r>
      <w:r>
        <w:rPr>
          <w:lang w:eastAsia="en-US"/>
        </w:rPr>
        <w:t xml:space="preserve">, одређене послове обавља и </w:t>
      </w:r>
      <w:r w:rsidRPr="0023383E">
        <w:rPr>
          <w:b/>
          <w:bCs/>
          <w:color w:val="2F5496"/>
          <w:lang w:eastAsia="en-US"/>
        </w:rPr>
        <w:t xml:space="preserve">Локални савет за </w:t>
      </w:r>
      <w:r w:rsidRPr="0023383E">
        <w:rPr>
          <w:b/>
          <w:bCs/>
          <w:color w:val="2F5496"/>
          <w:lang w:eastAsia="en-US"/>
        </w:rPr>
        <w:lastRenderedPageBreak/>
        <w:t>запошљавање</w:t>
      </w:r>
      <w:r>
        <w:rPr>
          <w:lang w:eastAsia="en-US"/>
        </w:rPr>
        <w:t xml:space="preserve">. Савет је оформљен од стране </w:t>
      </w:r>
      <w:r w:rsidR="004D772F">
        <w:rPr>
          <w:lang w:eastAsia="en-US"/>
        </w:rPr>
        <w:t>Општинског већа, као саветодавно тело органа Општине. Његов делокруг рада укључује давање мишљења и препорука у вези са плановима и програмима запошљавања, мерама активне политике запошљавања, прописима, и другим питањима од значаја за запошљавање</w:t>
      </w:r>
      <w:r w:rsidR="004D772F">
        <w:rPr>
          <w:rStyle w:val="FootnoteReference"/>
          <w:lang w:eastAsia="en-US"/>
        </w:rPr>
        <w:footnoteReference w:id="3"/>
      </w:r>
      <w:r w:rsidR="004D772F">
        <w:rPr>
          <w:lang w:eastAsia="en-US"/>
        </w:rPr>
        <w:t xml:space="preserve">. </w:t>
      </w:r>
    </w:p>
    <w:p w14:paraId="5D8DCB1B" w14:textId="3FB63204" w:rsidR="00175E48" w:rsidRPr="00A703B0" w:rsidRDefault="004B6C61" w:rsidP="00CB406D">
      <w:pPr>
        <w:rPr>
          <w:lang w:eastAsia="en-US"/>
        </w:rPr>
      </w:pPr>
      <w:r>
        <w:rPr>
          <w:lang w:eastAsia="en-US"/>
        </w:rPr>
        <w:t>Када је реч о пословима у вези са промоцијом и развојем туризма, тренутно их обавља Установа Културни центар</w:t>
      </w:r>
      <w:r w:rsidR="00402D3A">
        <w:rPr>
          <w:lang w:eastAsia="en-US"/>
        </w:rPr>
        <w:t>, и то у оквиру организационе јединице за туризам</w:t>
      </w:r>
      <w:r>
        <w:rPr>
          <w:lang w:eastAsia="en-US"/>
        </w:rPr>
        <w:t xml:space="preserve">. </w:t>
      </w:r>
      <w:r w:rsidR="008D6081">
        <w:rPr>
          <w:lang w:eastAsia="en-US"/>
        </w:rPr>
        <w:t xml:space="preserve">Наведене послове је до пре </w:t>
      </w:r>
      <w:r w:rsidR="00E86232">
        <w:rPr>
          <w:lang w:eastAsia="en-US"/>
        </w:rPr>
        <w:t>неколико</w:t>
      </w:r>
      <w:r w:rsidR="008D6081">
        <w:rPr>
          <w:lang w:eastAsia="en-US"/>
        </w:rPr>
        <w:t xml:space="preserve"> година обављала </w:t>
      </w:r>
      <w:r w:rsidR="00175E48">
        <w:rPr>
          <w:lang w:eastAsia="en-US"/>
        </w:rPr>
        <w:t xml:space="preserve">општинска туристичка организација, али </w:t>
      </w:r>
      <w:r w:rsidR="00C2438C">
        <w:rPr>
          <w:lang w:eastAsia="en-US"/>
        </w:rPr>
        <w:t>је</w:t>
      </w:r>
      <w:r w:rsidR="002B0667">
        <w:rPr>
          <w:lang w:eastAsia="en-US"/>
        </w:rPr>
        <w:t>, на основу</w:t>
      </w:r>
      <w:r w:rsidR="00617EF8">
        <w:rPr>
          <w:lang w:eastAsia="en-US"/>
        </w:rPr>
        <w:t xml:space="preserve"> </w:t>
      </w:r>
      <w:r w:rsidR="00175E48">
        <w:rPr>
          <w:lang w:eastAsia="en-US"/>
        </w:rPr>
        <w:t>одлук</w:t>
      </w:r>
      <w:r w:rsidR="002B0667">
        <w:rPr>
          <w:lang w:eastAsia="en-US"/>
        </w:rPr>
        <w:t>е</w:t>
      </w:r>
      <w:r w:rsidR="00175E48">
        <w:rPr>
          <w:lang w:eastAsia="en-US"/>
        </w:rPr>
        <w:t xml:space="preserve"> Скупштине општине из 2018. године, </w:t>
      </w:r>
      <w:r w:rsidR="00C2438C">
        <w:rPr>
          <w:lang w:eastAsia="en-US"/>
        </w:rPr>
        <w:t>покренут поступак</w:t>
      </w:r>
      <w:r w:rsidR="002B0667">
        <w:rPr>
          <w:lang w:eastAsia="en-US"/>
        </w:rPr>
        <w:t xml:space="preserve"> ликвидације, </w:t>
      </w:r>
      <w:r w:rsidR="00175E48">
        <w:rPr>
          <w:lang w:eastAsia="en-US"/>
        </w:rPr>
        <w:t>због непостојања услова за обављање делатности</w:t>
      </w:r>
      <w:r w:rsidR="00175E48">
        <w:rPr>
          <w:rStyle w:val="FootnoteReference"/>
          <w:lang w:eastAsia="en-US"/>
        </w:rPr>
        <w:footnoteReference w:id="4"/>
      </w:r>
      <w:r w:rsidR="00175E48">
        <w:rPr>
          <w:lang w:eastAsia="en-US"/>
        </w:rPr>
        <w:t>.</w:t>
      </w:r>
    </w:p>
    <w:p w14:paraId="33A344B9" w14:textId="73A09CE3" w:rsidR="003A7148" w:rsidRDefault="003A7148" w:rsidP="003A7148">
      <w:pPr>
        <w:pStyle w:val="Heading3"/>
      </w:pPr>
      <w:r>
        <w:t xml:space="preserve">Релевантни документи </w:t>
      </w:r>
      <w:r w:rsidR="00701699">
        <w:t xml:space="preserve">развојног планирања и јавних политика </w:t>
      </w:r>
      <w:r>
        <w:t>на локалном нивоу</w:t>
      </w:r>
    </w:p>
    <w:p w14:paraId="79C861B2" w14:textId="63F341C2" w:rsidR="002044E4" w:rsidRPr="00C36710" w:rsidRDefault="008D1907" w:rsidP="00CB406D">
      <w:r>
        <w:t>У овом тренутку, не постоји важећи документ развојног планирања за општину Смедеревска Паланка. Последњи такав документ била је Стратегија одрживог развоја, чији период примене је истекао 2016. године</w:t>
      </w:r>
      <w:r w:rsidR="00FF2574">
        <w:t xml:space="preserve">. Након тога </w:t>
      </w:r>
      <w:r>
        <w:t>није донет нови развојни документ</w:t>
      </w:r>
      <w:r w:rsidR="00FF2574">
        <w:t xml:space="preserve">, али је у </w:t>
      </w:r>
      <w:r w:rsidR="00A703B0">
        <w:t>јуну 2022. године Скупштина општине донела Одлуку о приступању изради плана развоја за период 2023-2030. године</w:t>
      </w:r>
      <w:r w:rsidR="00A703B0">
        <w:rPr>
          <w:rStyle w:val="FootnoteReference"/>
        </w:rPr>
        <w:footnoteReference w:id="5"/>
      </w:r>
      <w:r w:rsidR="00A703B0">
        <w:t>.</w:t>
      </w:r>
      <w:r w:rsidR="00FF2574">
        <w:t xml:space="preserve"> Не постоје ни документа јавних политика у области инвестиција, привредног развоја или туризма.</w:t>
      </w:r>
    </w:p>
    <w:p w14:paraId="65C26F24" w14:textId="2A8EA49E" w:rsidR="008D1907" w:rsidRDefault="008D1907" w:rsidP="00CB406D">
      <w:r>
        <w:t xml:space="preserve">Једини важећи документ јавне политике који је релевантан за анализиране области јесте </w:t>
      </w:r>
      <w:r w:rsidRPr="009726D6">
        <w:rPr>
          <w:b/>
          <w:bCs/>
          <w:color w:val="2F5496"/>
        </w:rPr>
        <w:t>Локални акциони план запошљавања</w:t>
      </w:r>
      <w:r w:rsidR="00304819" w:rsidRPr="00304819">
        <w:rPr>
          <w:rStyle w:val="FootnoteReference"/>
        </w:rPr>
        <w:footnoteReference w:id="6"/>
      </w:r>
      <w:r>
        <w:t xml:space="preserve">, усвојен </w:t>
      </w:r>
      <w:r w:rsidR="00802AB0">
        <w:t xml:space="preserve">2022. </w:t>
      </w:r>
      <w:r>
        <w:t xml:space="preserve">године. </w:t>
      </w:r>
      <w:r w:rsidR="007378D2">
        <w:t xml:space="preserve">Реч је о првом документу овакве врсте у Смедеревској Паланци. </w:t>
      </w:r>
      <w:r w:rsidR="00091973">
        <w:t xml:space="preserve">Наведено је да ће у 2022. години фокус бити на активностима које у кратком и у средњем року могу дати ефекте. Дефинисана су три главна циља, и то: а) отварање нових радних места, подстицање формалне запослености и самозапошљавања, и смањивање ефеката економске кризе, б) унапређење социјалне инклузије и једнаког приступа тржишту рада, и в) развој људских ресурса. </w:t>
      </w:r>
    </w:p>
    <w:p w14:paraId="1C2268EE" w14:textId="4713BAFD" w:rsidR="00091973" w:rsidRDefault="00091973" w:rsidP="00CB406D">
      <w:r w:rsidRPr="00091973">
        <w:rPr>
          <w:color w:val="2F5496"/>
        </w:rPr>
        <w:t>Мере активне политике запошљавања у 2022. години</w:t>
      </w:r>
      <w:r>
        <w:t>, утврђене Локалним акционим планом запошљавања, укључују:</w:t>
      </w:r>
    </w:p>
    <w:p w14:paraId="5AF952E7" w14:textId="40B7A079" w:rsidR="00091973" w:rsidRDefault="004B6886" w:rsidP="00091973">
      <w:pPr>
        <w:pStyle w:val="Lista1"/>
      </w:pPr>
      <w:r>
        <w:t>Субвенције за запошљавање теже запошљивих категорија незапослених лица, и</w:t>
      </w:r>
    </w:p>
    <w:p w14:paraId="479A19EB" w14:textId="4C6C7A2E" w:rsidR="004B6886" w:rsidRPr="008D1907" w:rsidRDefault="004B6886" w:rsidP="004B6886">
      <w:pPr>
        <w:pStyle w:val="Lista1"/>
      </w:pPr>
      <w:r>
        <w:t>Субвенције за самозапошљавање.</w:t>
      </w:r>
    </w:p>
    <w:p w14:paraId="3955D7F9" w14:textId="73D5AF3A" w:rsidR="00043D9C" w:rsidRDefault="00130E84" w:rsidP="000E7FCC">
      <w:r>
        <w:t xml:space="preserve">Поред Локалног акционог плана запошљавања, релевантан је и </w:t>
      </w:r>
      <w:r w:rsidRPr="00043D9C">
        <w:rPr>
          <w:color w:val="2F5496"/>
        </w:rPr>
        <w:t>Локални акциони план за родну равноправност</w:t>
      </w:r>
      <w:r>
        <w:rPr>
          <w:rStyle w:val="FootnoteReference"/>
        </w:rPr>
        <w:footnoteReference w:id="7"/>
      </w:r>
      <w:r>
        <w:t xml:space="preserve">, који као </w:t>
      </w:r>
      <w:r w:rsidR="00043D9C">
        <w:t xml:space="preserve">неке од приоритета поставља јачање предузетничких </w:t>
      </w:r>
      <w:r w:rsidR="00043D9C">
        <w:lastRenderedPageBreak/>
        <w:t>капацитета жена у циљу њиховог економског оснаживања и самозапошљавања, и омогућавање лакшег приступа жена запошљавању. У ту сврху, предвиђене активности укључују едукацију жена, посебно из угрожених социјалних категорија, о могућностима побољшања економског положаја, као и формирање базе података о женском предузетништву.</w:t>
      </w:r>
    </w:p>
    <w:p w14:paraId="67B04013" w14:textId="69624B70" w:rsidR="00C36710" w:rsidRPr="00043D9C" w:rsidRDefault="00C36710" w:rsidP="000E7FCC">
      <w:r>
        <w:t xml:space="preserve">У вези са </w:t>
      </w:r>
      <w:r w:rsidR="00802AB0">
        <w:t xml:space="preserve">развојем </w:t>
      </w:r>
      <w:r>
        <w:t>туризм</w:t>
      </w:r>
      <w:r w:rsidR="00802AB0">
        <w:t>а</w:t>
      </w:r>
      <w:r>
        <w:t xml:space="preserve">, 2020. године </w:t>
      </w:r>
      <w:r w:rsidR="001A426C">
        <w:t xml:space="preserve">Скупштина општине </w:t>
      </w:r>
      <w:r>
        <w:t xml:space="preserve">је </w:t>
      </w:r>
      <w:r w:rsidR="001A426C">
        <w:t xml:space="preserve">усвојила </w:t>
      </w:r>
      <w:r>
        <w:t>одлук</w:t>
      </w:r>
      <w:r w:rsidR="001A426C">
        <w:t>у</w:t>
      </w:r>
      <w:r>
        <w:t xml:space="preserve"> о </w:t>
      </w:r>
      <w:r w:rsidRPr="001A426C">
        <w:rPr>
          <w:color w:val="2F5496"/>
        </w:rPr>
        <w:t xml:space="preserve">приступању изради Бренд стратегије </w:t>
      </w:r>
      <w:r>
        <w:t>за период 2021-2026. године, са циљем да се утврди концепт одрживог развоја општине Смедеревска Паланка као туристичког подручја.</w:t>
      </w:r>
      <w:r w:rsidR="001A426C">
        <w:rPr>
          <w:rStyle w:val="FootnoteReference"/>
        </w:rPr>
        <w:footnoteReference w:id="8"/>
      </w:r>
      <w:r w:rsidR="00802AB0">
        <w:t xml:space="preserve"> Одржано је неколико почетних састанака, али се до сада није приступило реализацији ове стратегије.</w:t>
      </w:r>
    </w:p>
    <w:p w14:paraId="5AE4F7CA" w14:textId="103B8C6C" w:rsidR="003C219B" w:rsidRPr="003C219B" w:rsidRDefault="00CB406D" w:rsidP="003C219B">
      <w:pPr>
        <w:pStyle w:val="Heading3"/>
      </w:pPr>
      <w:r>
        <w:t>Унапређење привредног и инвестиционог амбијента</w:t>
      </w:r>
      <w:r w:rsidR="003C219B">
        <w:t xml:space="preserve"> и промоција предузетништва </w:t>
      </w:r>
    </w:p>
    <w:p w14:paraId="28B0C6AF" w14:textId="79869A7E" w:rsidR="009F392B" w:rsidRPr="007B4357" w:rsidRDefault="00ED6391" w:rsidP="00BE0CA8">
      <w:r>
        <w:t>У оквиру послова које обављају и</w:t>
      </w:r>
      <w:r w:rsidR="00DD4F29">
        <w:t>звршни органи о</w:t>
      </w:r>
      <w:r w:rsidR="005E11F6">
        <w:t>пштин</w:t>
      </w:r>
      <w:r w:rsidR="00DD4F29">
        <w:t>е</w:t>
      </w:r>
      <w:r w:rsidR="005E11F6">
        <w:t xml:space="preserve"> Смедеревска Паланка</w:t>
      </w:r>
      <w:r>
        <w:t xml:space="preserve">, активности подршке привредним субјектима, развоја предузетништва и привлачења страних инвестиција су малобројне и недовољно финансиране. Један од проблема свакако је недостатак стратешких праваца деловања који би били усвојени од стране Скупштине општине </w:t>
      </w:r>
      <w:r w:rsidR="00DD4F29">
        <w:t xml:space="preserve">– не постоји важећи план развоја, план инвестиција, програм локалног економског развоја, </w:t>
      </w:r>
      <w:r w:rsidR="007377CD">
        <w:t>или</w:t>
      </w:r>
      <w:r w:rsidR="00DD4F29">
        <w:t xml:space="preserve"> било који сличан документ на основу кога би биле формулисане мере и активности пре свега Одељења за локални економски развој</w:t>
      </w:r>
      <w:r w:rsidR="007377CD">
        <w:t xml:space="preserve">, привреду и пољопривреду. </w:t>
      </w:r>
      <w:r>
        <w:t>Штавише, у претходном периоду</w:t>
      </w:r>
      <w:r w:rsidR="007377CD">
        <w:t>, као ни у текућој 2022. годину,</w:t>
      </w:r>
      <w:r w:rsidR="00DD4F29">
        <w:t xml:space="preserve"> буџет општине Смедеревска Паланка уопште </w:t>
      </w:r>
      <w:r w:rsidR="007377CD">
        <w:t>не садржи активности унапређења привредног и инвестиционог амбијента и подршке економском развоју и промоцији предузетништва у оквиру програма Локални економски развој</w:t>
      </w:r>
      <w:r w:rsidR="007D4E27">
        <w:rPr>
          <w:rStyle w:val="FootnoteReference"/>
        </w:rPr>
        <w:footnoteReference w:id="9"/>
      </w:r>
      <w:r w:rsidR="007377CD">
        <w:t>.</w:t>
      </w:r>
      <w:r w:rsidR="00DD4F29">
        <w:t xml:space="preserve"> </w:t>
      </w:r>
    </w:p>
    <w:p w14:paraId="430C3D8D" w14:textId="17081D2E" w:rsidR="00FB69FC" w:rsidRDefault="00FB69FC" w:rsidP="00BE0CA8">
      <w:r>
        <w:t xml:space="preserve">Ипак, постоје одређене активности општине Смедеревска Паланка које имају утицаја на </w:t>
      </w:r>
      <w:r w:rsidR="003F3C1C">
        <w:t>унапређење привредног и инвестиционог амбијента и промоцију предузетништва.</w:t>
      </w:r>
      <w:r w:rsidR="00A968B1">
        <w:t xml:space="preserve"> </w:t>
      </w:r>
    </w:p>
    <w:p w14:paraId="69EE06BC" w14:textId="6ED26F7B" w:rsidR="002044E4" w:rsidRPr="00E72237" w:rsidRDefault="00FB69FC" w:rsidP="007360A3">
      <w:r>
        <w:t>Пре свега, треба поменути да је н</w:t>
      </w:r>
      <w:r w:rsidR="00E9296C" w:rsidRPr="00E9296C">
        <w:t>а тери</w:t>
      </w:r>
      <w:r w:rsidR="00BF1A23">
        <w:t xml:space="preserve">торији </w:t>
      </w:r>
      <w:r>
        <w:t>О</w:t>
      </w:r>
      <w:r w:rsidR="00BF1A23">
        <w:t xml:space="preserve">пштине </w:t>
      </w:r>
      <w:r w:rsidR="00553214">
        <w:t xml:space="preserve">пре пар година </w:t>
      </w:r>
      <w:r w:rsidR="000256D2">
        <w:t xml:space="preserve">локална власт формирала </w:t>
      </w:r>
      <w:r w:rsidR="00553214" w:rsidRPr="00553214">
        <w:rPr>
          <w:b/>
          <w:bCs/>
          <w:color w:val="2F5496"/>
        </w:rPr>
        <w:t>индустријск</w:t>
      </w:r>
      <w:r w:rsidR="000256D2">
        <w:rPr>
          <w:b/>
          <w:bCs/>
          <w:color w:val="2F5496"/>
        </w:rPr>
        <w:t>у</w:t>
      </w:r>
      <w:r w:rsidR="00553214" w:rsidRPr="00553214">
        <w:rPr>
          <w:b/>
          <w:bCs/>
          <w:color w:val="2F5496"/>
        </w:rPr>
        <w:t xml:space="preserve"> зон</w:t>
      </w:r>
      <w:r w:rsidR="000256D2">
        <w:rPr>
          <w:b/>
          <w:bCs/>
          <w:color w:val="2F5496"/>
        </w:rPr>
        <w:t>у</w:t>
      </w:r>
      <w:r w:rsidR="00553214">
        <w:t xml:space="preserve"> Губераш. Зона се налази на путу према Великој Плани</w:t>
      </w:r>
      <w:r w:rsidR="005D00C3">
        <w:t>, и заузима површину од</w:t>
      </w:r>
      <w:r w:rsidR="00945993" w:rsidRPr="003165D9">
        <w:t xml:space="preserve"> 90</w:t>
      </w:r>
      <w:r w:rsidR="005D00C3">
        <w:t xml:space="preserve"> хектара</w:t>
      </w:r>
      <w:r w:rsidR="00553214">
        <w:t xml:space="preserve">. </w:t>
      </w:r>
      <w:r w:rsidR="00334E9C">
        <w:t xml:space="preserve">У комплексу постоји могућност за изградњу привредно-производних објеката већег капацитета, јер је тренутна заузетост око 6 хектара. </w:t>
      </w:r>
      <w:r w:rsidR="00306721">
        <w:t>План детаљне регулације „Привредно-радна зона Губераш“</w:t>
      </w:r>
      <w:r w:rsidR="00945993">
        <w:t xml:space="preserve"> </w:t>
      </w:r>
      <w:r w:rsidR="00306721">
        <w:t>усвоје</w:t>
      </w:r>
      <w:r w:rsidR="00911CF7">
        <w:t>н</w:t>
      </w:r>
      <w:r w:rsidR="00306721">
        <w:t xml:space="preserve"> је 2013. године</w:t>
      </w:r>
      <w:r w:rsidR="004F141E">
        <w:t>.</w:t>
      </w:r>
      <w:r w:rsidR="00306721">
        <w:t xml:space="preserve"> </w:t>
      </w:r>
      <w:r w:rsidR="004F141E">
        <w:t>П</w:t>
      </w:r>
      <w:r w:rsidR="006A2061">
        <w:t xml:space="preserve">одручје се налази југоисточно од Смедеревске Паланке, оивичено је са северне стране државним путем другог реда 147 </w:t>
      </w:r>
      <w:r w:rsidR="006A2061">
        <w:rPr>
          <w:lang w:val="sr-Latn-RS"/>
        </w:rPr>
        <w:t>IIA</w:t>
      </w:r>
      <w:r w:rsidR="006A2061">
        <w:t xml:space="preserve"> Смедеревска Паланка-Велика Плана, са западне стране државним путем другог реда 370 </w:t>
      </w:r>
      <w:r w:rsidR="006A2061">
        <w:rPr>
          <w:lang w:val="sr-Latn-RS"/>
        </w:rPr>
        <w:t>II</w:t>
      </w:r>
      <w:r w:rsidR="006A2061">
        <w:t>Б Смедеревска Паланка -Рача, са источне стране општинским путем ОП.</w:t>
      </w:r>
      <w:r w:rsidR="006A2061">
        <w:rPr>
          <w:lang w:val="sr-Latn-RS"/>
        </w:rPr>
        <w:t>I-3</w:t>
      </w:r>
      <w:r w:rsidR="006A2061">
        <w:t xml:space="preserve"> Смедеревска Паланка </w:t>
      </w:r>
      <w:r w:rsidR="00334E9C">
        <w:t>–</w:t>
      </w:r>
      <w:r w:rsidR="006A2061">
        <w:t xml:space="preserve"> Водице</w:t>
      </w:r>
      <w:r w:rsidR="00334E9C">
        <w:t>.</w:t>
      </w:r>
      <w:r w:rsidR="00D85447">
        <w:rPr>
          <w:lang w:val="sr-Latn-RS"/>
        </w:rPr>
        <w:t xml:space="preserve"> </w:t>
      </w:r>
      <w:r w:rsidR="00E72237">
        <w:t>Подручје је</w:t>
      </w:r>
      <w:r w:rsidR="004F141E">
        <w:t>,</w:t>
      </w:r>
      <w:r w:rsidR="00E72237">
        <w:t xml:space="preserve"> што се тиче комуналне опремљености, у потпуности опремљено мрежом и објектима јавне инфраструктуре, на такав начин да у потпуности  задовоље будуће потребе корисника простора.</w:t>
      </w:r>
    </w:p>
    <w:p w14:paraId="72FCB5B9" w14:textId="2915E248" w:rsidR="00DB0EAF" w:rsidRPr="003F3C1C" w:rsidRDefault="00F86D9B" w:rsidP="000256D2">
      <w:pPr>
        <w:pStyle w:val="Lista1"/>
        <w:numPr>
          <w:ilvl w:val="0"/>
          <w:numId w:val="0"/>
        </w:numPr>
        <w:rPr>
          <w:highlight w:val="lightGray"/>
        </w:rPr>
      </w:pPr>
      <w:r w:rsidRPr="00860B76">
        <w:lastRenderedPageBreak/>
        <w:t xml:space="preserve">Као један облик инвестиционих подстицаја, постоји </w:t>
      </w:r>
      <w:r w:rsidRPr="00860B76">
        <w:rPr>
          <w:b/>
          <w:bCs/>
          <w:color w:val="2F5496"/>
        </w:rPr>
        <w:t xml:space="preserve">могућност ослобађања </w:t>
      </w:r>
      <w:r w:rsidR="00EB3663">
        <w:rPr>
          <w:b/>
          <w:bCs/>
          <w:color w:val="2F5496"/>
        </w:rPr>
        <w:t xml:space="preserve">плаћања </w:t>
      </w:r>
      <w:r w:rsidRPr="00860B76">
        <w:rPr>
          <w:b/>
          <w:bCs/>
          <w:color w:val="2F5496"/>
        </w:rPr>
        <w:t>доприноса за уређивање грађевинског земљишта за инвеститоре</w:t>
      </w:r>
      <w:r w:rsidRPr="00860B76">
        <w:t>.</w:t>
      </w:r>
      <w:r w:rsidR="00860B76">
        <w:t xml:space="preserve"> Наиме, плаћања доприноса су ослобођени инвеститори у случају инвестиција за које је закључком Владе утврђено д</w:t>
      </w:r>
      <w:r w:rsidR="00FA0D5A">
        <w:t xml:space="preserve">а </w:t>
      </w:r>
      <w:r w:rsidR="004F141E">
        <w:t>су</w:t>
      </w:r>
      <w:r w:rsidR="00FA0D5A">
        <w:t xml:space="preserve"> </w:t>
      </w:r>
      <w:r w:rsidR="00860B76">
        <w:t>од значаја за Републику Србију. Такође, привредна друштва и предузетници који запосле најмање 50 радника имају право на умањење у износу од половине обрачунатог износа доприноса.</w:t>
      </w:r>
      <w:r w:rsidR="00860B76">
        <w:rPr>
          <w:rStyle w:val="FootnoteReference"/>
        </w:rPr>
        <w:footnoteReference w:id="10"/>
      </w:r>
      <w:r w:rsidR="00860B76">
        <w:t xml:space="preserve"> </w:t>
      </w:r>
    </w:p>
    <w:p w14:paraId="7B1EC4E4" w14:textId="77777777" w:rsidR="00CB406D" w:rsidRDefault="00CB406D" w:rsidP="00CB406D">
      <w:pPr>
        <w:pStyle w:val="Heading3"/>
      </w:pPr>
      <w:r>
        <w:t>Мере активне политике запошљавања</w:t>
      </w:r>
    </w:p>
    <w:p w14:paraId="6C48F7B2" w14:textId="08AA1CC4" w:rsidR="002B3DA2" w:rsidRDefault="00D76F1F" w:rsidP="00667406">
      <w:r>
        <w:rPr>
          <w:b/>
          <w:bCs/>
          <w:color w:val="2F5496"/>
        </w:rPr>
        <w:t>Локални а</w:t>
      </w:r>
      <w:r w:rsidR="000819CF">
        <w:rPr>
          <w:b/>
          <w:bCs/>
          <w:color w:val="2F5496"/>
        </w:rPr>
        <w:t>кциони план запошљавања за 2022. годину предвиђа следеће мере активне политике запошљавања</w:t>
      </w:r>
      <w:r w:rsidR="00E4151F" w:rsidRPr="00304819">
        <w:rPr>
          <w:rStyle w:val="FootnoteReference"/>
        </w:rPr>
        <w:footnoteReference w:id="11"/>
      </w:r>
      <w:r w:rsidR="000819CF" w:rsidRPr="000819CF">
        <w:t>:</w:t>
      </w:r>
    </w:p>
    <w:p w14:paraId="7BAF0EAB" w14:textId="5DC8DF49" w:rsidR="000819CF" w:rsidRDefault="00913549" w:rsidP="000819CF">
      <w:pPr>
        <w:pStyle w:val="Lista1"/>
      </w:pPr>
      <w:r>
        <w:t xml:space="preserve">Субвенције за запошљавање теже запошљивих категорија незапослених лица. Субвенције се додељују једнократно послодавцима из приватног сектора који запосле незапослена лица из неке од следећих категорија: без основог образовања или без завршене средње школе; старији од 50 година; дугорочно незапослена лица (која траже посао дуже од 12 месеци); жене (нарочито жртве породичног насиља); млади до 30 година старости (нарочито млади у домском смештају, хранитељским или старатељским породицама); особе са инвалидитетом; Роми; корисници новчане социјалне помоћи; или лица у статусу вишка запослених. </w:t>
      </w:r>
    </w:p>
    <w:p w14:paraId="7E2AEE40" w14:textId="08EAC972" w:rsidR="001B339D" w:rsidRDefault="001B339D" w:rsidP="000819CF">
      <w:pPr>
        <w:pStyle w:val="Lista1"/>
      </w:pPr>
      <w:r>
        <w:t>Субвенције за самозапошљавање. Субвенције се додељују једнократно, у износу од 300 000 динара, незапосленим лицима која оснивају предузетничку радњу, задругу или привредно друштво (под условом да заснивају и радни однос у њему). Поред финансијске, додељује се и стручна подршка, у виду обука за развој предузетништва и других обука, специјалистичке обуке и менторинг</w:t>
      </w:r>
      <w:r w:rsidR="00662DE3">
        <w:rPr>
          <w:lang w:val="en-GB"/>
        </w:rPr>
        <w:t>a</w:t>
      </w:r>
      <w:r>
        <w:t xml:space="preserve">. Приоритет за додељивање средстава имају млади до 30 година старости, Роми, жене, особе са инвалидитетом и особе у статусу вишка запослених. </w:t>
      </w:r>
    </w:p>
    <w:p w14:paraId="07FE2A66" w14:textId="4E9E8448" w:rsidR="002B3DA2" w:rsidRDefault="001E2430" w:rsidP="00667406">
      <w:r w:rsidRPr="001E2430">
        <w:t xml:space="preserve">За </w:t>
      </w:r>
      <w:r>
        <w:t xml:space="preserve">финансирање </w:t>
      </w:r>
      <w:r w:rsidRPr="001E2430">
        <w:t>наведен</w:t>
      </w:r>
      <w:r>
        <w:t>их мера из буџета општине Смедеревска Паланка за 2022. годину опредељено је укупно 6 милиона динара, и то 2 милиона за субвенције за запошљавање теже запошљивих категорија, и 4 милиона за субвенциј</w:t>
      </w:r>
      <w:r w:rsidR="00662DE3">
        <w:rPr>
          <w:lang w:val="en-GB"/>
        </w:rPr>
        <w:t>e</w:t>
      </w:r>
      <w:r>
        <w:t xml:space="preserve"> за самозапошљавање. </w:t>
      </w:r>
      <w:r w:rsidRPr="001E2430">
        <w:t xml:space="preserve"> </w:t>
      </w:r>
    </w:p>
    <w:p w14:paraId="6E9408F0" w14:textId="37AEE33E" w:rsidR="00021153" w:rsidRDefault="00021153" w:rsidP="00667406">
      <w:r>
        <w:t>Треба напоменути да је 2022. прва година у којој је финансирање  мера активне политике запошљавања укључено у буџет општине Смедеревска Паланка. Пре тога, није било издвајање за ове намене.</w:t>
      </w:r>
    </w:p>
    <w:p w14:paraId="679F5533" w14:textId="77777777" w:rsidR="00CB406D" w:rsidRDefault="00CB406D" w:rsidP="00CB406D">
      <w:pPr>
        <w:pStyle w:val="Heading3"/>
      </w:pPr>
      <w:r>
        <w:lastRenderedPageBreak/>
        <w:t>Управљање развојем туризма и промоција туристичке понуде</w:t>
      </w:r>
    </w:p>
    <w:p w14:paraId="62E5CAC7" w14:textId="76D9950D" w:rsidR="002B3DA2" w:rsidRDefault="00332553" w:rsidP="00CB406D">
      <w:r>
        <w:t xml:space="preserve">Као </w:t>
      </w:r>
      <w:r w:rsidR="00662DE3">
        <w:t xml:space="preserve">што је претходно напоменуто, активности у вези са </w:t>
      </w:r>
      <w:r>
        <w:t>развој</w:t>
      </w:r>
      <w:r w:rsidR="00662DE3">
        <w:t>ем</w:t>
      </w:r>
      <w:r>
        <w:t xml:space="preserve"> и промоциј</w:t>
      </w:r>
      <w:r w:rsidR="00662DE3">
        <w:t>ом</w:t>
      </w:r>
      <w:r>
        <w:t xml:space="preserve"> туризма </w:t>
      </w:r>
      <w:r w:rsidR="00662DE3">
        <w:t xml:space="preserve">спадају у делокруг рада </w:t>
      </w:r>
      <w:r w:rsidR="00662DE3" w:rsidRPr="00662DE3">
        <w:t>Одељењ</w:t>
      </w:r>
      <w:r w:rsidR="00662DE3">
        <w:t>а</w:t>
      </w:r>
      <w:r w:rsidR="00662DE3" w:rsidRPr="00662DE3">
        <w:t xml:space="preserve"> за локални економски развој, привреду и пољопривреду</w:t>
      </w:r>
      <w:r w:rsidR="00662DE3">
        <w:t xml:space="preserve">, а значајне активности обавља </w:t>
      </w:r>
      <w:r w:rsidR="00402D3A">
        <w:t>У</w:t>
      </w:r>
      <w:r w:rsidR="00662DE3">
        <w:t>станова Културни центар.</w:t>
      </w:r>
    </w:p>
    <w:p w14:paraId="613460A0" w14:textId="5C358941" w:rsidR="0099065B" w:rsidRDefault="0099065B" w:rsidP="00CB406D">
      <w:r>
        <w:t>О</w:t>
      </w:r>
      <w:r w:rsidRPr="00B22924">
        <w:t xml:space="preserve">длуку о </w:t>
      </w:r>
      <w:r w:rsidRPr="00B22924">
        <w:rPr>
          <w:b/>
          <w:bCs/>
          <w:color w:val="2F5496"/>
        </w:rPr>
        <w:t>висини боравишне таксе</w:t>
      </w:r>
      <w:r w:rsidRPr="00B22924">
        <w:t xml:space="preserve"> </w:t>
      </w:r>
      <w:r w:rsidRPr="000E6541">
        <w:t xml:space="preserve">доноси Скупштина општине. Висина боравишне таксе износи 60 динара, и плаћа је корисник услуге смештаја у угоститељском објекту, за сваки дан боравка у смештају. За одређене категорије посетилаца предвиђено је ослобађање од плаћања или умањење износа боравишне таксе (нпр. деца, лица са инвалидитетом, ученици и студенти који организовано бораве у смештају). Према овој одлуци, обавезу плаћања боравишне таксе имају и физичка лица која пружају услуге смештаја у домаћој радиности и сеоском туристичком домаћинству. За њих се износ таксе утврђује на годишњем нивоу, по решењу </w:t>
      </w:r>
      <w:r w:rsidR="00B778F7" w:rsidRPr="000E6541">
        <w:t>Одељења за утврђивање и наплату јавних прихода</w:t>
      </w:r>
      <w:r w:rsidR="000E6541" w:rsidRPr="000E6541">
        <w:t xml:space="preserve">, </w:t>
      </w:r>
      <w:r w:rsidR="000E6541" w:rsidRPr="000E6541">
        <w:t>а по претходно, од стране Одељења за локално економски развој, привреду и пољопривреду Општинске управе Општине Смедеревска Паланка, донетом и правоснажном решењу о категоризацији угоститељског објекта.</w:t>
      </w:r>
    </w:p>
    <w:p w14:paraId="6B430092" w14:textId="313BB855" w:rsidR="007A461C" w:rsidRDefault="00853EF4" w:rsidP="00CB406D">
      <w:r>
        <w:t xml:space="preserve">Изузетан значај </w:t>
      </w:r>
      <w:r w:rsidR="00E56BC7">
        <w:t xml:space="preserve">за развој туризма </w:t>
      </w:r>
      <w:r>
        <w:t xml:space="preserve">представља учешће у капиталном пројекту покренутом од стране Министарства трговине, туризма и телекомуникација, а који се односи на </w:t>
      </w:r>
      <w:r w:rsidRPr="007360A3">
        <w:rPr>
          <w:b/>
          <w:bCs/>
          <w:color w:val="2F5496"/>
        </w:rPr>
        <w:t>дигитализацију туристичке понуде</w:t>
      </w:r>
      <w:r>
        <w:t xml:space="preserve"> Србије. Установа </w:t>
      </w:r>
      <w:r w:rsidR="00662DE3">
        <w:rPr>
          <w:lang w:val="en-GB"/>
        </w:rPr>
        <w:t>K</w:t>
      </w:r>
      <w:r>
        <w:t>ултурни центар је остварила интензивну сарадњу са именованим министарством и активно учествовала у мапирању и ажурирању података о локалитетима и манифестацијама на територији општине Смедеревска Паланка. Извршено је најпре прикупљање основних информација ради иницијалног пуњења Регистра локалитета и манифестација. Остварен је први задати циљ, а то је формирање комплетне листе туристичког потенцијала, а потом се приступило прибављању професионалних фотографија локалитета и манифестација и попуњавању информација о понуди на енглеском језику.</w:t>
      </w:r>
      <w:r w:rsidR="00F32270">
        <w:t xml:space="preserve"> Цео поступак је спроведен како би база података о туристичкој понуди наше општине била приказана на платформи у виду својеврсне „ личне карте“ туристичког потенцијала. Наредна фаза Дигитализације туристичке понуде Србије се наставља и </w:t>
      </w:r>
      <w:r w:rsidR="00A24EAB">
        <w:t>у</w:t>
      </w:r>
      <w:r w:rsidR="00F32270">
        <w:t xml:space="preserve"> 2023.години.</w:t>
      </w:r>
    </w:p>
    <w:p w14:paraId="69DDB279" w14:textId="4583E6E1" w:rsidR="00F66B69" w:rsidRDefault="007A461C" w:rsidP="00CB406D">
      <w:r>
        <w:t>Осим дигиталног презентовања туристичке понуде</w:t>
      </w:r>
      <w:r w:rsidR="00662DE3">
        <w:t>,</w:t>
      </w:r>
      <w:r>
        <w:t xml:space="preserve"> још увек је значајна и </w:t>
      </w:r>
      <w:r w:rsidRPr="004C1A34">
        <w:t>издавачка делатност</w:t>
      </w:r>
      <w:r>
        <w:t xml:space="preserve">. Организациона јединица за туризам </w:t>
      </w:r>
      <w:r w:rsidR="00402D3A">
        <w:t>У</w:t>
      </w:r>
      <w:r>
        <w:t xml:space="preserve">станове </w:t>
      </w:r>
      <w:r w:rsidR="00662DE3">
        <w:t>К</w:t>
      </w:r>
      <w:r>
        <w:t xml:space="preserve">ултурни центар </w:t>
      </w:r>
      <w:r w:rsidR="00F15166">
        <w:t xml:space="preserve">активно врши припрему </w:t>
      </w:r>
      <w:r w:rsidR="00F15166" w:rsidRPr="007360A3">
        <w:rPr>
          <w:b/>
          <w:bCs/>
          <w:color w:val="2F5496"/>
        </w:rPr>
        <w:t>п</w:t>
      </w:r>
      <w:r w:rsidR="00245B84" w:rsidRPr="007360A3">
        <w:rPr>
          <w:b/>
          <w:bCs/>
          <w:color w:val="2F5496"/>
        </w:rPr>
        <w:t>ромотивног материјала</w:t>
      </w:r>
      <w:r w:rsidR="00245B84">
        <w:t xml:space="preserve"> (брошуре</w:t>
      </w:r>
      <w:r w:rsidR="00F15166">
        <w:t>, публикације, каталози, мапе) на српском, руском и енглеском језику, који се дистрибуира на сајмовима и другим туристичким скуповима у циљу пр</w:t>
      </w:r>
      <w:r w:rsidR="00245B84">
        <w:t xml:space="preserve">омовисања туристичке вредности јединице локалне самоуправе. </w:t>
      </w:r>
      <w:r w:rsidR="00F15166">
        <w:t>Промотивни материјал се обезбеђује и за потребе међународних скупова и делегација.</w:t>
      </w:r>
    </w:p>
    <w:p w14:paraId="58F73C01" w14:textId="0DAA6091" w:rsidR="00853EF4" w:rsidRPr="000B118B" w:rsidRDefault="00F32270" w:rsidP="00332553">
      <w:r>
        <w:t xml:space="preserve">За развој туризма од значаја је и </w:t>
      </w:r>
      <w:r w:rsidRPr="007360A3">
        <w:rPr>
          <w:b/>
          <w:bCs/>
          <w:color w:val="2F5496"/>
        </w:rPr>
        <w:t>координација активности субјеката туристичке привреде и пословно-техничка сарадња</w:t>
      </w:r>
      <w:r>
        <w:t>. Пре свега</w:t>
      </w:r>
      <w:r w:rsidR="004C1A34">
        <w:t>,</w:t>
      </w:r>
      <w:r>
        <w:t xml:space="preserve"> остварена је сарадња са туристичким организацијама у непосредном окружењу у циљу обједињавања туристичке понуде и проширивањ</w:t>
      </w:r>
      <w:r w:rsidR="004C1A34">
        <w:t>а</w:t>
      </w:r>
      <w:r>
        <w:t xml:space="preserve"> могућности заједничког наступања на сајмовима туризма.</w:t>
      </w:r>
      <w:r w:rsidR="00F6662F">
        <w:t xml:space="preserve"> Не мањег значаја је и сарадња са завичајним удружењима (ЗУ „Станоје Главаш“</w:t>
      </w:r>
      <w:r w:rsidR="004C1A34">
        <w:t xml:space="preserve"> </w:t>
      </w:r>
      <w:r w:rsidR="00090EF1">
        <w:t>Глибовац, ЗТУ „Видовача“</w:t>
      </w:r>
      <w:r w:rsidR="004C1A34">
        <w:t xml:space="preserve"> </w:t>
      </w:r>
      <w:r w:rsidR="00090EF1">
        <w:t>Водице, Удружење грађана „Мезул“, Туристичко–земљораднички клуб „Азањска погача“), локалним привредницима и осталим субјектима туристичке привреде.</w:t>
      </w:r>
    </w:p>
    <w:p w14:paraId="3257340C" w14:textId="6B531B7A" w:rsidR="008A717E" w:rsidRDefault="00482176" w:rsidP="00332553">
      <w:r>
        <w:lastRenderedPageBreak/>
        <w:t>Имајући у виду</w:t>
      </w:r>
      <w:r w:rsidR="008A717E">
        <w:t xml:space="preserve"> да се број </w:t>
      </w:r>
      <w:r w:rsidR="008A717E" w:rsidRPr="0051654A">
        <w:t>издаваоца услуге смештаја</w:t>
      </w:r>
      <w:r w:rsidR="008A717E">
        <w:t xml:space="preserve"> у општини Смедеревска Паланка интензивно повећава, може се рећи да је понуда све богатија. У овом тренутку </w:t>
      </w:r>
      <w:r w:rsidR="00547A1E">
        <w:t>регистрованих правних лица са формираним налозима на порталу Централног информационог система</w:t>
      </w:r>
      <w:r w:rsidR="00BF5BD8">
        <w:t xml:space="preserve"> у области туризма и угоститељства „еТуриста“ има једанаест. Један од њих представља сеоско домаћинство ( регистровано под називом „ Лазарев врт“, село Мраморац)</w:t>
      </w:r>
      <w:r w:rsidR="004C1A34">
        <w:t>,</w:t>
      </w:r>
      <w:r w:rsidR="00BF5BD8">
        <w:t xml:space="preserve"> </w:t>
      </w:r>
      <w:r w:rsidR="00A21EEA">
        <w:t xml:space="preserve">које </w:t>
      </w:r>
      <w:r w:rsidR="00BF5BD8">
        <w:t>тежи да временом пређе у категорисане објекте због могућих бенефита које такав статус носи.</w:t>
      </w:r>
    </w:p>
    <w:p w14:paraId="60E680F4" w14:textId="3C4C1DA7" w:rsidR="00BF5BD8" w:rsidRPr="008A717E" w:rsidRDefault="00BF5BD8" w:rsidP="00332553">
      <w:r>
        <w:t xml:space="preserve">За сада у општини Смедеревска Паланка нема </w:t>
      </w:r>
      <w:r w:rsidRPr="007360A3">
        <w:rPr>
          <w:b/>
          <w:bCs/>
          <w:color w:val="2F5496"/>
        </w:rPr>
        <w:t>категорисаних угоститељских објеката за смештај</w:t>
      </w:r>
      <w:r>
        <w:t xml:space="preserve">, али ће убрзо та пракса бити промењена, јер је недавно физичко лице путем портала „ еТуриста“ упутило захтев главном обрађивачу да јединица </w:t>
      </w:r>
      <w:r w:rsidR="003A554F">
        <w:t>локалне самоуправе</w:t>
      </w:r>
      <w:r w:rsidR="0051654A">
        <w:t>,</w:t>
      </w:r>
      <w:r w:rsidR="003A554F">
        <w:t xml:space="preserve"> у складу са з</w:t>
      </w:r>
      <w:r>
        <w:t>аконом</w:t>
      </w:r>
      <w:r w:rsidR="003A554F">
        <w:t xml:space="preserve"> и подзаконским актима</w:t>
      </w:r>
      <w:r w:rsidR="0063782B">
        <w:t>,</w:t>
      </w:r>
      <w:r w:rsidR="003A554F">
        <w:t xml:space="preserve"> изврши категоризацију угоститељског објекта за смештај, врсте апартман. За наведену потребу формирана је трочлана комисија</w:t>
      </w:r>
      <w:r w:rsidR="00A21EEA">
        <w:t>,</w:t>
      </w:r>
      <w:r w:rsidR="0063782B">
        <w:t xml:space="preserve"> чији је задатак да утврди чињенично стање и након тога упути предлог Начелнику О</w:t>
      </w:r>
      <w:r w:rsidR="00A21EEA">
        <w:t>пштинске управи</w:t>
      </w:r>
      <w:r w:rsidR="0063782B">
        <w:t xml:space="preserve"> ради доношења решења о категоризацији.</w:t>
      </w:r>
    </w:p>
    <w:p w14:paraId="162E5C7B" w14:textId="7F5E320B" w:rsidR="00122A5E" w:rsidRPr="000C1363" w:rsidRDefault="00122A5E" w:rsidP="007360A3">
      <w:r w:rsidRPr="000C1363">
        <w:t>Организациона јединица за туризам на основу планираних активности</w:t>
      </w:r>
      <w:r w:rsidR="000C1363">
        <w:t xml:space="preserve"> </w:t>
      </w:r>
      <w:r w:rsidR="00B575E3" w:rsidRPr="000C1363">
        <w:t>учествује</w:t>
      </w:r>
      <w:r w:rsidRPr="000C1363">
        <w:t xml:space="preserve"> у </w:t>
      </w:r>
      <w:r w:rsidRPr="007360A3">
        <w:rPr>
          <w:b/>
          <w:bCs/>
          <w:color w:val="2F5496"/>
        </w:rPr>
        <w:t>организацији следећих манифестација</w:t>
      </w:r>
      <w:r w:rsidR="0051654A" w:rsidRPr="007360A3">
        <w:rPr>
          <w:b/>
          <w:bCs/>
          <w:color w:val="2F5496"/>
        </w:rPr>
        <w:t>,</w:t>
      </w:r>
      <w:r w:rsidRPr="007360A3">
        <w:rPr>
          <w:b/>
          <w:bCs/>
          <w:color w:val="2F5496"/>
        </w:rPr>
        <w:t xml:space="preserve"> акција </w:t>
      </w:r>
      <w:r w:rsidR="0051654A" w:rsidRPr="007360A3">
        <w:rPr>
          <w:b/>
          <w:bCs/>
          <w:color w:val="2F5496"/>
        </w:rPr>
        <w:t>и других скупова</w:t>
      </w:r>
      <w:r w:rsidRPr="000C1363">
        <w:t>:</w:t>
      </w:r>
    </w:p>
    <w:p w14:paraId="4FAFEEDC" w14:textId="35306238" w:rsidR="00122A5E" w:rsidRDefault="00122A5E" w:rsidP="007360A3">
      <w:pPr>
        <w:pStyle w:val="Lista1"/>
      </w:pPr>
      <w:r w:rsidRPr="007360A3">
        <w:rPr>
          <w:bCs/>
          <w:color w:val="2F5496"/>
        </w:rPr>
        <w:t>Првомајски уранак</w:t>
      </w:r>
      <w:r w:rsidR="00312EE8" w:rsidRPr="00312EE8">
        <w:rPr>
          <w:bCs/>
        </w:rPr>
        <w:t>.</w:t>
      </w:r>
      <w:r w:rsidR="00312EE8">
        <w:rPr>
          <w:b/>
        </w:rPr>
        <w:t xml:space="preserve"> </w:t>
      </w:r>
      <w:r w:rsidRPr="000C1363">
        <w:t>Првомајски уранак се традиционално одржава у парку на Кисељаку.</w:t>
      </w:r>
      <w:r w:rsidR="000C1363">
        <w:t xml:space="preserve"> </w:t>
      </w:r>
      <w:r w:rsidRPr="000C1363">
        <w:t>Предвиђен је богат културно-уме</w:t>
      </w:r>
      <w:r w:rsidR="000C1363">
        <w:t xml:space="preserve">тнички програм, учешће културно </w:t>
      </w:r>
      <w:r w:rsidRPr="000C1363">
        <w:t>уметничких друштава, дечијег балета, бендова...</w:t>
      </w:r>
    </w:p>
    <w:p w14:paraId="6F58A927" w14:textId="03C9D610" w:rsidR="00B575E3" w:rsidRPr="000C1363" w:rsidRDefault="00122A5E" w:rsidP="007360A3">
      <w:pPr>
        <w:pStyle w:val="Lista1"/>
      </w:pPr>
      <w:r w:rsidRPr="007360A3">
        <w:rPr>
          <w:bCs/>
          <w:color w:val="2F5496"/>
        </w:rPr>
        <w:t>Пролећни сајам цвећа</w:t>
      </w:r>
      <w:r w:rsidR="00312EE8" w:rsidRPr="00312EE8">
        <w:rPr>
          <w:bCs/>
        </w:rPr>
        <w:t>.</w:t>
      </w:r>
      <w:r w:rsidR="00312EE8">
        <w:rPr>
          <w:b/>
        </w:rPr>
        <w:t xml:space="preserve"> </w:t>
      </w:r>
      <w:r w:rsidR="00B575E3" w:rsidRPr="000C1363">
        <w:t>Пролећни сајам цвећа се традиционално одржаба</w:t>
      </w:r>
      <w:r w:rsidR="000C1363">
        <w:t xml:space="preserve"> у мају. Први пут је </w:t>
      </w:r>
      <w:r w:rsidRPr="000C1363">
        <w:t>2021.</w:t>
      </w:r>
      <w:r w:rsidR="001569A1">
        <w:t xml:space="preserve"> </w:t>
      </w:r>
      <w:r w:rsidRPr="000C1363">
        <w:t>године промењена лок</w:t>
      </w:r>
      <w:r w:rsidR="00B575E3" w:rsidRPr="000C1363">
        <w:t>ација и од тада се одржава у Главашевом парку. Манифестацију карактерише велики број излагача, а због своје лепоте привлачи и велики број посетилаца из читавог региона.</w:t>
      </w:r>
    </w:p>
    <w:p w14:paraId="0D65287A" w14:textId="5BB2DCB6" w:rsidR="00122A5E" w:rsidRDefault="00122A5E" w:rsidP="007360A3">
      <w:pPr>
        <w:pStyle w:val="Lista1"/>
      </w:pPr>
      <w:r w:rsidRPr="007360A3">
        <w:rPr>
          <w:bCs/>
          <w:color w:val="2F5496"/>
        </w:rPr>
        <w:t>Избор за најлепше уређено градск</w:t>
      </w:r>
      <w:r w:rsidR="00D0279E" w:rsidRPr="007360A3">
        <w:rPr>
          <w:bCs/>
          <w:color w:val="2F5496"/>
        </w:rPr>
        <w:t xml:space="preserve">о и сеоско двориште, стамбени и </w:t>
      </w:r>
      <w:r w:rsidRPr="007360A3">
        <w:rPr>
          <w:bCs/>
          <w:color w:val="2F5496"/>
        </w:rPr>
        <w:t>пословни простор</w:t>
      </w:r>
      <w:r w:rsidR="00312EE8" w:rsidRPr="00312EE8">
        <w:rPr>
          <w:bCs/>
        </w:rPr>
        <w:t xml:space="preserve">. </w:t>
      </w:r>
      <w:r>
        <w:t>Организација наведене акције подразумева утврђивање критеријума, најава</w:t>
      </w:r>
      <w:r w:rsidR="000C1363">
        <w:t xml:space="preserve"> </w:t>
      </w:r>
      <w:r>
        <w:t>у медијима, затим обилазак и фотографисање пријавње</w:t>
      </w:r>
      <w:r w:rsidR="000C1363">
        <w:t xml:space="preserve">ник кандидата </w:t>
      </w:r>
      <w:r>
        <w:t>(градска, сеоска дворишта, стамбени и пословни простор</w:t>
      </w:r>
      <w:r w:rsidR="00B575E3">
        <w:t>).</w:t>
      </w:r>
    </w:p>
    <w:p w14:paraId="71D5D4D4" w14:textId="77CA10C0" w:rsidR="00122A5E" w:rsidRDefault="00122A5E" w:rsidP="007360A3">
      <w:pPr>
        <w:pStyle w:val="Lista1"/>
      </w:pPr>
      <w:r w:rsidRPr="007360A3">
        <w:rPr>
          <w:bCs/>
          <w:color w:val="2F5496"/>
        </w:rPr>
        <w:t>Учешће на сеоским манифестацијама</w:t>
      </w:r>
      <w:r w:rsidR="000C1363">
        <w:t xml:space="preserve"> (</w:t>
      </w:r>
      <w:r w:rsidR="00312EE8">
        <w:t>Станоје Главаш, Водичко прело, Прасијада, Дани Азањске погаче, 1001 корен, Ђакови дани, Дани комбајнера, Дани Пере Тодоровића, Влашкодолски супретак</w:t>
      </w:r>
      <w:r w:rsidR="000C1363">
        <w:t>)</w:t>
      </w:r>
      <w:r w:rsidR="00312EE8">
        <w:t>,</w:t>
      </w:r>
      <w:r w:rsidR="000C1363">
        <w:t xml:space="preserve"> </w:t>
      </w:r>
      <w:r w:rsidR="000C1363" w:rsidRPr="007360A3">
        <w:rPr>
          <w:color w:val="2F5496"/>
        </w:rPr>
        <w:t xml:space="preserve">културним, </w:t>
      </w:r>
      <w:r w:rsidRPr="007360A3">
        <w:rPr>
          <w:color w:val="2F5496"/>
        </w:rPr>
        <w:t>научним и другим скуповима</w:t>
      </w:r>
      <w:r w:rsidR="000C1363">
        <w:t>.</w:t>
      </w:r>
      <w:r w:rsidR="00312EE8">
        <w:t xml:space="preserve"> </w:t>
      </w:r>
      <w:r>
        <w:t>Основни циљ је неговање постојећих пословних и пријатељских односа са</w:t>
      </w:r>
      <w:r w:rsidR="000C1363">
        <w:t xml:space="preserve"> </w:t>
      </w:r>
      <w:r w:rsidR="001569A1">
        <w:t>у</w:t>
      </w:r>
      <w:r>
        <w:t>дружењима, која су главни организатори наведених манифестација и</w:t>
      </w:r>
      <w:r w:rsidR="000C1363">
        <w:t xml:space="preserve"> </w:t>
      </w:r>
      <w:r>
        <w:t>успостављање нових пословних контака</w:t>
      </w:r>
      <w:r w:rsidR="000C1363">
        <w:t xml:space="preserve">та за остваривање даље сарадње. </w:t>
      </w:r>
      <w:r>
        <w:t>Значајан сегмент је промоција туристичког потенцијала наше општине.</w:t>
      </w:r>
    </w:p>
    <w:p w14:paraId="36CFB47A" w14:textId="753BDED3" w:rsidR="00122A5E" w:rsidRDefault="00122A5E" w:rsidP="007360A3">
      <w:pPr>
        <w:pStyle w:val="Lista1"/>
      </w:pPr>
      <w:r w:rsidRPr="007360A3">
        <w:rPr>
          <w:bCs/>
          <w:color w:val="2F5496"/>
        </w:rPr>
        <w:t>Крстовдански дани ( Крстовдански вашар)</w:t>
      </w:r>
      <w:r w:rsidR="00312EE8" w:rsidRPr="00312EE8">
        <w:rPr>
          <w:bCs/>
        </w:rPr>
        <w:t>.</w:t>
      </w:r>
      <w:r w:rsidR="00312EE8">
        <w:rPr>
          <w:b/>
        </w:rPr>
        <w:t xml:space="preserve"> </w:t>
      </w:r>
      <w:r>
        <w:t>Манифестација се традиционално одржав</w:t>
      </w:r>
      <w:r w:rsidR="000C1363">
        <w:t xml:space="preserve">а уочи вашара, који је један од </w:t>
      </w:r>
      <w:r>
        <w:t>највећих у нашој земљи. У духу новог вр</w:t>
      </w:r>
      <w:r w:rsidR="000C1363">
        <w:t xml:space="preserve">емена, осим трговине, дружења и </w:t>
      </w:r>
      <w:r w:rsidR="00B575E3">
        <w:t xml:space="preserve">забављања, организује се и </w:t>
      </w:r>
      <w:r>
        <w:t>изложба, презентације и пословни сусре</w:t>
      </w:r>
      <w:r w:rsidR="000C1363">
        <w:t xml:space="preserve">ти </w:t>
      </w:r>
      <w:r>
        <w:t>привредника, радника у туризму,</w:t>
      </w:r>
      <w:r w:rsidR="000C1363">
        <w:t xml:space="preserve"> култури, спорту...</w:t>
      </w:r>
      <w:r w:rsidR="001569A1">
        <w:t xml:space="preserve"> </w:t>
      </w:r>
      <w:r w:rsidR="000C1363">
        <w:t xml:space="preserve">Том приликом </w:t>
      </w:r>
      <w:r>
        <w:t>користимо могућност да великом броју по</w:t>
      </w:r>
      <w:r w:rsidR="000C1363">
        <w:t xml:space="preserve">сетилаца представимо оно што је </w:t>
      </w:r>
      <w:r>
        <w:t>најбоље у овом крају</w:t>
      </w:r>
      <w:r w:rsidR="00312EE8">
        <w:t xml:space="preserve"> – </w:t>
      </w:r>
      <w:r>
        <w:t>пољоприв</w:t>
      </w:r>
      <w:r w:rsidR="000C1363">
        <w:t xml:space="preserve">редне, прерађивачке, туристичке </w:t>
      </w:r>
      <w:r>
        <w:t xml:space="preserve">потенцијале, занатску и сваколику другу богату традицију, </w:t>
      </w:r>
      <w:r w:rsidR="000C1363">
        <w:t>културно наслеђе</w:t>
      </w:r>
      <w:r w:rsidR="00B575E3">
        <w:t xml:space="preserve">... </w:t>
      </w:r>
      <w:r>
        <w:t>Циљ је да учврстимо постојоће и развиј</w:t>
      </w:r>
      <w:r w:rsidR="000C1363">
        <w:t xml:space="preserve">емо нове пословне и пријатељске </w:t>
      </w:r>
      <w:r w:rsidR="00B575E3">
        <w:t xml:space="preserve">везе. </w:t>
      </w:r>
      <w:r>
        <w:t>С обзиром да је ова манифестација по бро</w:t>
      </w:r>
      <w:r w:rsidR="000C1363">
        <w:t xml:space="preserve">ју посетилаца </w:t>
      </w:r>
      <w:r w:rsidR="000C1363">
        <w:lastRenderedPageBreak/>
        <w:t xml:space="preserve">најмасовнија и по </w:t>
      </w:r>
      <w:r>
        <w:t>традицији најстар</w:t>
      </w:r>
      <w:r w:rsidR="00B575E3">
        <w:t>ија</w:t>
      </w:r>
      <w:r w:rsidR="001569A1">
        <w:t>,</w:t>
      </w:r>
      <w:r w:rsidR="00B575E3">
        <w:t xml:space="preserve"> детаљи манифестације се програмски дефинишу.</w:t>
      </w:r>
    </w:p>
    <w:p w14:paraId="3F6CBB54" w14:textId="61EC6AA4" w:rsidR="00122A5E" w:rsidRPr="000C1363" w:rsidRDefault="00312EE8" w:rsidP="00122A5E">
      <w:pPr>
        <w:rPr>
          <w:b/>
        </w:rPr>
      </w:pPr>
      <w:r w:rsidRPr="00312EE8">
        <w:rPr>
          <w:b/>
          <w:color w:val="2F5496"/>
        </w:rPr>
        <w:t xml:space="preserve">Презентације кроз учешће у пројектима </w:t>
      </w:r>
      <w:r w:rsidRPr="00312EE8">
        <w:rPr>
          <w:bCs/>
        </w:rPr>
        <w:t>укључују следеће активности:</w:t>
      </w:r>
    </w:p>
    <w:p w14:paraId="2B1FBFCC" w14:textId="19047B91" w:rsidR="00122A5E" w:rsidRDefault="00122A5E" w:rsidP="007360A3">
      <w:pPr>
        <w:pStyle w:val="Lista1"/>
      </w:pPr>
      <w:r w:rsidRPr="007360A3">
        <w:rPr>
          <w:bCs/>
          <w:color w:val="2F5496"/>
        </w:rPr>
        <w:t>Општинске олимпијске сеоске игре</w:t>
      </w:r>
      <w:r w:rsidR="00312EE8" w:rsidRPr="007360A3">
        <w:rPr>
          <w:bCs/>
          <w:color w:val="2F5496"/>
        </w:rPr>
        <w:t xml:space="preserve">. </w:t>
      </w:r>
      <w:r>
        <w:t xml:space="preserve">Организација такмичења пријављених екипа испред </w:t>
      </w:r>
      <w:r w:rsidR="000C1363">
        <w:t xml:space="preserve">сеоских месних заједница у више </w:t>
      </w:r>
      <w:r>
        <w:t>спортова, како екипних тако и појединачних. На</w:t>
      </w:r>
      <w:r w:rsidR="000C1363">
        <w:t xml:space="preserve">јуспешнији спортисти и екипе се </w:t>
      </w:r>
      <w:r>
        <w:t>квалификују за Републичке сеоске олимпијске игр</w:t>
      </w:r>
      <w:r w:rsidR="000C1363">
        <w:t>е</w:t>
      </w:r>
      <w:r w:rsidR="002F1CC8">
        <w:t>,</w:t>
      </w:r>
      <w:r w:rsidR="000C1363">
        <w:t xml:space="preserve"> које се одржавају под окриљем Спортског савеза Србије.</w:t>
      </w:r>
    </w:p>
    <w:p w14:paraId="47B1D647" w14:textId="516FB620" w:rsidR="00122A5E" w:rsidRDefault="00122A5E" w:rsidP="007360A3">
      <w:pPr>
        <w:pStyle w:val="Lista1"/>
      </w:pPr>
      <w:r w:rsidRPr="007360A3">
        <w:rPr>
          <w:bCs/>
          <w:color w:val="2F5496"/>
        </w:rPr>
        <w:t>Михољски сусрети села</w:t>
      </w:r>
      <w:r w:rsidR="00312EE8">
        <w:rPr>
          <w:bCs/>
        </w:rPr>
        <w:t xml:space="preserve">. </w:t>
      </w:r>
      <w:r w:rsidR="002457DD">
        <w:t>Манифестација се одржава</w:t>
      </w:r>
      <w:r>
        <w:t xml:space="preserve"> на основу конкурсн</w:t>
      </w:r>
      <w:r w:rsidR="002457DD">
        <w:t xml:space="preserve">е документације Министарства за </w:t>
      </w:r>
      <w:r>
        <w:t>бригу о селу.</w:t>
      </w:r>
    </w:p>
    <w:p w14:paraId="3526B681" w14:textId="282FE89F" w:rsidR="00122A5E" w:rsidRDefault="00122A5E" w:rsidP="007360A3">
      <w:pPr>
        <w:pStyle w:val="Lista1"/>
      </w:pPr>
      <w:r w:rsidRPr="007360A3">
        <w:rPr>
          <w:bCs/>
          <w:color w:val="2F5496"/>
        </w:rPr>
        <w:t>Зимске дечје чаролије</w:t>
      </w:r>
      <w:r w:rsidR="00312EE8">
        <w:rPr>
          <w:bCs/>
        </w:rPr>
        <w:t xml:space="preserve">. </w:t>
      </w:r>
      <w:r>
        <w:t>Сваке године се доставља пројектна документација за З</w:t>
      </w:r>
      <w:r w:rsidR="002457DD">
        <w:t>имске дечје чаролије</w:t>
      </w:r>
      <w:r w:rsidR="002F1CC8">
        <w:t>,</w:t>
      </w:r>
      <w:r w:rsidR="002457DD">
        <w:t xml:space="preserve"> у којој се </w:t>
      </w:r>
      <w:r>
        <w:t>прецизно дефинишу догађаји који ће бити орган</w:t>
      </w:r>
      <w:r w:rsidR="002457DD">
        <w:t>изовани у зимском делу године (</w:t>
      </w:r>
      <w:r>
        <w:t>клизалиште, концерти, представе, дечје радиониц</w:t>
      </w:r>
      <w:r w:rsidR="002457DD">
        <w:t xml:space="preserve">е, маскенбал, ликовне колоније, </w:t>
      </w:r>
      <w:r>
        <w:t>књижевне вечери, продаја сувенира, фестивал позо</w:t>
      </w:r>
      <w:r w:rsidR="002457DD">
        <w:t xml:space="preserve">ришта за децу, обележавање </w:t>
      </w:r>
      <w:r>
        <w:t>новогодишњих и божићних празника...)</w:t>
      </w:r>
      <w:r w:rsidR="001569A1">
        <w:t>.</w:t>
      </w:r>
    </w:p>
    <w:p w14:paraId="7FC14A80" w14:textId="54B14A63" w:rsidR="00B03DA9" w:rsidRDefault="00332553" w:rsidP="00CB406D">
      <w:r>
        <w:t xml:space="preserve">Из буџета општине Смедеревска Паланка </w:t>
      </w:r>
      <w:r w:rsidR="002C3627">
        <w:t xml:space="preserve">нису издвајана средства </w:t>
      </w:r>
      <w:r>
        <w:t xml:space="preserve">за </w:t>
      </w:r>
      <w:r w:rsidR="002C3627">
        <w:t xml:space="preserve">финансирање </w:t>
      </w:r>
      <w:r>
        <w:t>програм</w:t>
      </w:r>
      <w:r w:rsidR="002C3627">
        <w:t>а</w:t>
      </w:r>
      <w:r>
        <w:t xml:space="preserve"> развоја туризма у периоду 2019-2022. године. </w:t>
      </w:r>
      <w:r w:rsidR="00AB7D6B">
        <w:t xml:space="preserve">До 2019. године, </w:t>
      </w:r>
      <w:r>
        <w:t xml:space="preserve">средства намењена за промоцију туризма била су реализована на разделу Општинске туристичке организације. Међутим, 2018. године донета је одлука о </w:t>
      </w:r>
      <w:r w:rsidR="00C9182D">
        <w:t xml:space="preserve">ликвидацији </w:t>
      </w:r>
      <w:r>
        <w:t>ове установе</w:t>
      </w:r>
      <w:r w:rsidR="002C3627">
        <w:rPr>
          <w:rStyle w:val="FootnoteReference"/>
          <w:lang w:eastAsia="en-US"/>
        </w:rPr>
        <w:footnoteReference w:id="12"/>
      </w:r>
      <w:r>
        <w:t xml:space="preserve">, тако да, након тога, активности промоције и друге активности развоја туризма изостају из буџета Општине. </w:t>
      </w:r>
    </w:p>
    <w:p w14:paraId="65557206" w14:textId="71C67B65" w:rsidR="00D0279E" w:rsidRPr="00332553" w:rsidRDefault="00D0279E" w:rsidP="00CB406D">
      <w:r>
        <w:t xml:space="preserve">За даљи развој туризма у општини Смедеревска Паланка неопходно је на позицији туризам, планирати средства која ће бити реализована преко </w:t>
      </w:r>
      <w:r w:rsidR="00402D3A">
        <w:t>У</w:t>
      </w:r>
      <w:r>
        <w:t xml:space="preserve">станове </w:t>
      </w:r>
      <w:r w:rsidR="00C9182D">
        <w:t>К</w:t>
      </w:r>
      <w:r>
        <w:t>ултурни центар у оквиру које функционише Организациона јединица за туризам. Чињеница је да ако се ликвидира установа која се бавила туризмом</w:t>
      </w:r>
      <w:r w:rsidR="00C9182D">
        <w:t>,</w:t>
      </w:r>
      <w:r>
        <w:t xml:space="preserve"> не</w:t>
      </w:r>
      <w:r w:rsidR="00F731CB">
        <w:t xml:space="preserve"> </w:t>
      </w:r>
      <w:r>
        <w:t>сме се ликвидирати и сам туризам.</w:t>
      </w:r>
    </w:p>
    <w:p w14:paraId="14CCAB83" w14:textId="77777777" w:rsidR="00CB406D" w:rsidRDefault="00CB406D" w:rsidP="003E02C1">
      <w:pPr>
        <w:pStyle w:val="Heading2"/>
      </w:pPr>
      <w:r>
        <w:t>Анализа стања у области економске и развојне политике и тржишта рада</w:t>
      </w:r>
    </w:p>
    <w:p w14:paraId="63B8A0C1" w14:textId="05179923" w:rsidR="003E02C1" w:rsidRPr="00216CFC" w:rsidRDefault="0053228D" w:rsidP="00CB406D">
      <w:pPr>
        <w:pStyle w:val="Heading3"/>
      </w:pPr>
      <w:r>
        <w:t>Привред</w:t>
      </w:r>
      <w:r w:rsidR="0052724F">
        <w:t>на структура и привредни субјекти</w:t>
      </w:r>
    </w:p>
    <w:p w14:paraId="607DBF60" w14:textId="76ABED59" w:rsidR="002B3DA2" w:rsidRDefault="00CA7711" w:rsidP="003E02C1">
      <w:pPr>
        <w:rPr>
          <w:b/>
          <w:bCs/>
          <w:color w:val="2F5496"/>
          <w:lang w:eastAsia="en-US"/>
        </w:rPr>
      </w:pPr>
      <w:r>
        <w:rPr>
          <w:b/>
          <w:bCs/>
          <w:color w:val="2F5496"/>
          <w:lang w:eastAsia="en-US"/>
        </w:rPr>
        <w:t>У привредној структури општине Смедеревска Паланка традиционално важне делатности су пољопривреда и прерађивачка индустрија</w:t>
      </w:r>
      <w:r w:rsidRPr="00CA7711">
        <w:rPr>
          <w:lang w:eastAsia="en-US"/>
        </w:rPr>
        <w:t>, пре свега</w:t>
      </w:r>
      <w:r w:rsidRPr="00CA7711">
        <w:rPr>
          <w:b/>
          <w:bCs/>
          <w:lang w:eastAsia="en-US"/>
        </w:rPr>
        <w:t xml:space="preserve"> </w:t>
      </w:r>
      <w:r>
        <w:rPr>
          <w:lang w:eastAsia="en-US"/>
        </w:rPr>
        <w:t>машинска и металска индустрија, производња грађевинског материјала, и различите области прехрамбене индустрије</w:t>
      </w:r>
      <w:r w:rsidRPr="00CA7711">
        <w:rPr>
          <w:lang w:eastAsia="en-US"/>
        </w:rPr>
        <w:t xml:space="preserve">. </w:t>
      </w:r>
      <w:r w:rsidR="00895297">
        <w:rPr>
          <w:lang w:eastAsia="en-US"/>
        </w:rPr>
        <w:t>Окосницу развоја је деценијама представља</w:t>
      </w:r>
      <w:r w:rsidR="004C3B5A">
        <w:rPr>
          <w:lang w:eastAsia="en-US"/>
        </w:rPr>
        <w:t xml:space="preserve">о </w:t>
      </w:r>
      <w:r w:rsidR="00895297">
        <w:rPr>
          <w:lang w:eastAsia="en-US"/>
        </w:rPr>
        <w:t>Гоша</w:t>
      </w:r>
      <w:r w:rsidR="004C3B5A">
        <w:rPr>
          <w:lang w:eastAsia="en-US"/>
        </w:rPr>
        <w:t xml:space="preserve"> холдинг</w:t>
      </w:r>
      <w:r w:rsidR="00895297">
        <w:rPr>
          <w:lang w:eastAsia="en-US"/>
        </w:rPr>
        <w:t xml:space="preserve">, а </w:t>
      </w:r>
      <w:r w:rsidR="009F7DD9">
        <w:rPr>
          <w:lang w:eastAsia="en-US"/>
        </w:rPr>
        <w:t xml:space="preserve">након приватизације неки делови </w:t>
      </w:r>
      <w:r w:rsidR="004C3B5A">
        <w:rPr>
          <w:lang w:eastAsia="en-US"/>
        </w:rPr>
        <w:t xml:space="preserve">овог холдинга су </w:t>
      </w:r>
      <w:r w:rsidR="009F7DD9">
        <w:rPr>
          <w:lang w:eastAsia="en-US"/>
        </w:rPr>
        <w:t xml:space="preserve">наставили </w:t>
      </w:r>
      <w:r w:rsidR="004C3B5A">
        <w:rPr>
          <w:lang w:eastAsia="en-US"/>
        </w:rPr>
        <w:t xml:space="preserve">успешно </w:t>
      </w:r>
      <w:r w:rsidR="009F7DD9">
        <w:rPr>
          <w:lang w:eastAsia="en-US"/>
        </w:rPr>
        <w:t>да послују. Препознатљиво предузеће је био и „Паланачки кисељак“, са минералном водом „Карађорђе“, које је више пута мењало власнике након приватизације</w:t>
      </w:r>
      <w:r w:rsidR="004C3B5A">
        <w:rPr>
          <w:lang w:eastAsia="en-US"/>
        </w:rPr>
        <w:t>.</w:t>
      </w:r>
      <w:r w:rsidR="009F7DD9">
        <w:rPr>
          <w:lang w:eastAsia="en-US"/>
        </w:rPr>
        <w:t xml:space="preserve"> </w:t>
      </w:r>
    </w:p>
    <w:p w14:paraId="42D30C9B" w14:textId="1A416745" w:rsidR="00A53DA1" w:rsidRDefault="00A53DA1" w:rsidP="003E02C1">
      <w:pPr>
        <w:rPr>
          <w:lang w:eastAsia="en-US"/>
        </w:rPr>
      </w:pPr>
      <w:r w:rsidRPr="00A53DA1">
        <w:rPr>
          <w:b/>
          <w:bCs/>
          <w:color w:val="2F5496"/>
          <w:lang w:eastAsia="en-US"/>
        </w:rPr>
        <w:lastRenderedPageBreak/>
        <w:t xml:space="preserve">Предузетничка активност у општини Смедеревска Паланка је </w:t>
      </w:r>
      <w:r w:rsidR="00CD1B55">
        <w:rPr>
          <w:b/>
          <w:bCs/>
          <w:color w:val="2F5496"/>
          <w:lang w:eastAsia="en-US"/>
        </w:rPr>
        <w:t>на нивоу просека Републике</w:t>
      </w:r>
      <w:r>
        <w:rPr>
          <w:lang w:eastAsia="en-US"/>
        </w:rPr>
        <w:t>. У 2021. години пословало је 2 223 активних привредник субјеката, и то 1 820 предузетника и 403 привредних друштава</w:t>
      </w:r>
      <w:r w:rsidRPr="00A53DA1">
        <w:rPr>
          <w:rStyle w:val="FootnoteReference"/>
          <w:lang w:eastAsia="en-US"/>
        </w:rPr>
        <w:footnoteReference w:id="13"/>
      </w:r>
      <w:r>
        <w:rPr>
          <w:lang w:eastAsia="en-US"/>
        </w:rPr>
        <w:t>.</w:t>
      </w:r>
      <w:r w:rsidR="00CD1B55">
        <w:rPr>
          <w:lang w:eastAsia="en-US"/>
        </w:rPr>
        <w:t xml:space="preserve"> Број активних предузетничких радњи на 1 000 становника износио је 41, што је у складу </w:t>
      </w:r>
      <w:r w:rsidR="00C42107">
        <w:rPr>
          <w:lang w:eastAsia="en-US"/>
        </w:rPr>
        <w:t xml:space="preserve">како </w:t>
      </w:r>
      <w:r w:rsidR="00CD1B55">
        <w:rPr>
          <w:lang w:eastAsia="en-US"/>
        </w:rPr>
        <w:t>са републичким просеком</w:t>
      </w:r>
      <w:r w:rsidR="00C42107">
        <w:rPr>
          <w:lang w:eastAsia="en-US"/>
        </w:rPr>
        <w:t xml:space="preserve"> (који такође износи 41)</w:t>
      </w:r>
      <w:r w:rsidR="00CD1B55">
        <w:rPr>
          <w:lang w:eastAsia="en-US"/>
        </w:rPr>
        <w:t xml:space="preserve">, </w:t>
      </w:r>
      <w:r w:rsidR="00C42107">
        <w:rPr>
          <w:lang w:eastAsia="en-US"/>
        </w:rPr>
        <w:t xml:space="preserve">тако </w:t>
      </w:r>
      <w:r w:rsidR="00CD1B55">
        <w:rPr>
          <w:lang w:eastAsia="en-US"/>
        </w:rPr>
        <w:t>и просек</w:t>
      </w:r>
      <w:r w:rsidR="00C42107">
        <w:rPr>
          <w:lang w:eastAsia="en-US"/>
        </w:rPr>
        <w:t>ом</w:t>
      </w:r>
      <w:r w:rsidR="00CD1B55">
        <w:rPr>
          <w:lang w:eastAsia="en-US"/>
        </w:rPr>
        <w:t xml:space="preserve"> Подунавске области </w:t>
      </w:r>
      <w:r w:rsidR="00FE455D">
        <w:rPr>
          <w:lang w:eastAsia="en-US"/>
        </w:rPr>
        <w:t>(у Подунавској области број активних предузетника на 1 000 становника износи 39)</w:t>
      </w:r>
      <w:r w:rsidR="00CD1B55" w:rsidRPr="00CD1B55">
        <w:rPr>
          <w:rStyle w:val="FootnoteReference"/>
          <w:lang w:eastAsia="en-US"/>
        </w:rPr>
        <w:footnoteReference w:id="14"/>
      </w:r>
      <w:r w:rsidR="00FE455D">
        <w:rPr>
          <w:lang w:eastAsia="en-US"/>
        </w:rPr>
        <w:t xml:space="preserve">. </w:t>
      </w:r>
      <w:r w:rsidR="00DB124A">
        <w:rPr>
          <w:lang w:eastAsia="en-US"/>
        </w:rPr>
        <w:t xml:space="preserve">Насупрот томе, показатељ броја привредних друштава на 1 000 становника, који у општини Смедеревска Паланка износи 9, значајно је нижи од националног нивоа (у Републици Србији број привредних друштава на 1 000 становника износи 19), али је у складу са просеком Подунавске области. </w:t>
      </w:r>
    </w:p>
    <w:p w14:paraId="45C3DC0F" w14:textId="5549E606" w:rsidR="00024154" w:rsidRPr="00A53DA1" w:rsidRDefault="009E65B7" w:rsidP="003E02C1">
      <w:pPr>
        <w:rPr>
          <w:lang w:eastAsia="en-US"/>
        </w:rPr>
      </w:pPr>
      <w:r w:rsidRPr="009E65B7">
        <w:rPr>
          <w:b/>
          <w:bCs/>
          <w:color w:val="2F5496"/>
          <w:lang w:eastAsia="en-US"/>
        </w:rPr>
        <w:t>Број привредних субјеката се благо повећао током претходних неколико година</w:t>
      </w:r>
      <w:r>
        <w:rPr>
          <w:lang w:eastAsia="en-US"/>
        </w:rPr>
        <w:t xml:space="preserve">. </w:t>
      </w:r>
      <w:r w:rsidR="00024154">
        <w:rPr>
          <w:lang w:eastAsia="en-US"/>
        </w:rPr>
        <w:t xml:space="preserve">На Графикону 1 се може запазити да је ово повећање вођено растом броја предузетничких радњи, </w:t>
      </w:r>
      <w:r w:rsidR="00A26B5B">
        <w:rPr>
          <w:lang w:eastAsia="en-US"/>
        </w:rPr>
        <w:t xml:space="preserve">док је број привредних друштава </w:t>
      </w:r>
      <w:r w:rsidR="00725BB2">
        <w:rPr>
          <w:lang w:eastAsia="en-US"/>
        </w:rPr>
        <w:t>има</w:t>
      </w:r>
      <w:r w:rsidR="00C87E5C">
        <w:rPr>
          <w:lang w:eastAsia="en-US"/>
        </w:rPr>
        <w:t>о</w:t>
      </w:r>
      <w:r w:rsidR="00725BB2">
        <w:rPr>
          <w:lang w:eastAsia="en-US"/>
        </w:rPr>
        <w:t xml:space="preserve"> тенденцију смањења</w:t>
      </w:r>
      <w:r w:rsidR="00A26B5B">
        <w:rPr>
          <w:lang w:eastAsia="en-US"/>
        </w:rPr>
        <w:t>.</w:t>
      </w:r>
    </w:p>
    <w:p w14:paraId="08057F7E" w14:textId="2E32D8AF" w:rsidR="00814011" w:rsidRPr="005B5978" w:rsidRDefault="00A179BB" w:rsidP="00BD092E">
      <w:pPr>
        <w:rPr>
          <w:b/>
          <w:bCs/>
          <w:color w:val="2F5496"/>
          <w:sz w:val="4"/>
          <w:szCs w:val="4"/>
          <w:lang w:eastAsia="en-US"/>
        </w:rPr>
      </w:pPr>
      <w:r w:rsidRPr="00667406">
        <w:rPr>
          <w:noProof/>
          <w:highlight w:val="lightGray"/>
          <w:lang w:val="en-US" w:eastAsia="en-US"/>
        </w:rPr>
        <mc:AlternateContent>
          <mc:Choice Requires="wps">
            <w:drawing>
              <wp:anchor distT="36195" distB="36195" distL="114300" distR="114300" simplePos="0" relativeHeight="251700224" behindDoc="0" locked="0" layoutInCell="1" allowOverlap="0" wp14:anchorId="3A379F29" wp14:editId="45290046">
                <wp:simplePos x="0" y="0"/>
                <wp:positionH relativeFrom="column">
                  <wp:posOffset>38100</wp:posOffset>
                </wp:positionH>
                <wp:positionV relativeFrom="paragraph">
                  <wp:posOffset>4445</wp:posOffset>
                </wp:positionV>
                <wp:extent cx="5785200" cy="2865600"/>
                <wp:effectExtent l="0" t="0" r="6350" b="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5200" cy="286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85B33" w14:textId="67AC9B2D" w:rsidR="000B118B" w:rsidRDefault="000B118B" w:rsidP="00A179BB">
                            <w:pPr>
                              <w:pStyle w:val="Caption1"/>
                            </w:pPr>
                            <w:r>
                              <w:t>Графикон 1. Број привредних субјеката у општини Смедеревска Паланка</w:t>
                            </w:r>
                          </w:p>
                          <w:p w14:paraId="74EF9010" w14:textId="1EE1CF86" w:rsidR="000B118B" w:rsidRPr="00CA2D3A" w:rsidRDefault="000B118B" w:rsidP="00A179BB">
                            <w:pPr>
                              <w:pStyle w:val="Caption1"/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15C0745F" wp14:editId="33DA2309">
                                  <wp:extent cx="2733675" cy="2482850"/>
                                  <wp:effectExtent l="0" t="0" r="0" b="0"/>
                                  <wp:docPr id="5" name="Chart 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685FCC27-7940-435A-A371-74D1FD50AF36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1"/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4270FD74" wp14:editId="79689A01">
                                  <wp:extent cx="2797175" cy="2486025"/>
                                  <wp:effectExtent l="0" t="0" r="3175" b="0"/>
                                  <wp:docPr id="13" name="Chart 1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92323086-C91D-4B05-B46E-7A8CDB381ED7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2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769C2B" w14:textId="77777777" w:rsidR="000B118B" w:rsidRPr="00E35B2D" w:rsidRDefault="000B118B" w:rsidP="00A179BB">
                            <w:pPr>
                              <w:pStyle w:val="Caption1"/>
                              <w:rPr>
                                <w:b w:val="0"/>
                                <w:bCs/>
                                <w:color w:val="auto"/>
                                <w:sz w:val="16"/>
                                <w:szCs w:val="18"/>
                              </w:rPr>
                            </w:pPr>
                            <w:r w:rsidRPr="00E35B2D">
                              <w:rPr>
                                <w:b w:val="0"/>
                                <w:bCs/>
                                <w:color w:val="auto"/>
                                <w:sz w:val="16"/>
                                <w:szCs w:val="18"/>
                              </w:rPr>
                              <w:t>Извор:</w:t>
                            </w:r>
                            <w:r>
                              <w:rPr>
                                <w:b w:val="0"/>
                                <w:bCs/>
                                <w:color w:val="auto"/>
                                <w:sz w:val="16"/>
                                <w:szCs w:val="18"/>
                              </w:rPr>
                              <w:t xml:space="preserve"> Регистар </w:t>
                            </w:r>
                            <w:r w:rsidRPr="00E35B2D">
                              <w:rPr>
                                <w:b w:val="0"/>
                                <w:bCs/>
                                <w:color w:val="auto"/>
                                <w:sz w:val="16"/>
                                <w:szCs w:val="18"/>
                              </w:rPr>
                              <w:t>мера и подстицаја привредног развоја, Агенција за привредне регистре (</w:t>
                            </w:r>
                            <w:hyperlink r:id="rId13" w:history="1">
                              <w:r w:rsidRPr="00E35B2D">
                                <w:rPr>
                                  <w:rStyle w:val="Hyperlink"/>
                                  <w:b w:val="0"/>
                                  <w:bCs/>
                                  <w:sz w:val="16"/>
                                  <w:szCs w:val="18"/>
                                </w:rPr>
                                <w:t>линк</w:t>
                              </w:r>
                            </w:hyperlink>
                            <w:r w:rsidRPr="00E35B2D">
                              <w:rPr>
                                <w:b w:val="0"/>
                                <w:bCs/>
                                <w:color w:val="auto"/>
                                <w:sz w:val="16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2000" tIns="72000" rIns="72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79F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pt;margin-top:.35pt;width:455.55pt;height:225.65pt;z-index:251700224;visibility:visible;mso-wrap-style:square;mso-width-percent:0;mso-height-percent:0;mso-wrap-distance-left:9pt;mso-wrap-distance-top:2.85pt;mso-wrap-distance-right:9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oaCAIAAPcDAAAOAAAAZHJzL2Uyb0RvYy54bWysU9tu2zAMfR+wfxD0vjjJkDQz4hRdugwD&#10;ugvQ9QNkWY6FyaJGKbGzrx8lO2m2vRXTg0BK1CF5eLS+7VvDjgq9Blvw2WTKmbISKm33BX/6vnuz&#10;4swHYSthwKqCn5Tnt5vXr9ady9UcGjCVQkYg1uedK3gTgsuzzMtGtcJPwClLlzVgKwK5uM8qFB2h&#10;tyabT6fLrAOsHIJU3tPp/XDJNwm/rpUMX+vaq8BMwam2kHZMexn3bLMW+R6Fa7QcyxAvqKIV2lLS&#10;C9S9CIIdUP8D1WqJ4KEOEwltBnWtpUo9UDez6V/dPDbCqdQLkePdhSb//2Dll+Oj+4Ys9O+hpwGm&#10;Jrx7APnDMwvbRti9ukOErlGiosSzSFnWOZ+PTyPVPvcRpOw+Q0VDFocACaivsY2sUJ+M0GkApwvp&#10;qg9M0uHiZrWgSXIm6W6+Wi6W5MQcIj8/d+jDRwUti0bBkaaa4MXxwYch9BwSs3kwutppY5KD+3Jr&#10;kB0FKWCX1oj+R5ixrCv4u8V8kZAtxPdJHK0OpFCj24KvpnENmol0fLBVCglCm8Gmoo0d+YmUDOSE&#10;vuwpMPJUQnUiphAGJdLPIaMB/MVZRyosuP95EKg4M58ssX1DzETZXjt47ZTJeUucUZiwkqAKHs7m&#10;NiSpJx7cHU1lpxNfz5WMtZK6EuPjT4jyvfZT1PN/3fwGAAD//wMAUEsDBBQABgAIAAAAIQAFNNx6&#10;3QAAAAYBAAAPAAAAZHJzL2Rvd25yZXYueG1sTI/NTsMwEITvSLyDtUjcqJOI/oVsqhaJA6eKUAlx&#10;c+NtEhGvo9hN3bfHPcFxNKOZb4pNML2YaHSdZYR0loAgrq3uuEE4fL49rUA4r1ir3jIhXMnBpry/&#10;K1Su7YU/aKp8I2IJu1whtN4PuZSubskoN7MDcfROdjTKRzk2Uo/qEstNL7MkWUijOo4LrRrotaX6&#10;pzobhK+Que5ahffDblqvrP0+zR3vER8fwvYFhKfg/8Jww4/oUEamoz2zdqJHWMQnHmEJIprrdJmC&#10;OCI8z7MEZFnI//jlLwAAAP//AwBQSwECLQAUAAYACAAAACEAtoM4kv4AAADhAQAAEwAAAAAAAAAA&#10;AAAAAAAAAAAAW0NvbnRlbnRfVHlwZXNdLnhtbFBLAQItABQABgAIAAAAIQA4/SH/1gAAAJQBAAAL&#10;AAAAAAAAAAAAAAAAAC8BAABfcmVscy8ucmVsc1BLAQItABQABgAIAAAAIQDdzzoaCAIAAPcDAAAO&#10;AAAAAAAAAAAAAAAAAC4CAABkcnMvZTJvRG9jLnhtbFBLAQItABQABgAIAAAAIQAFNNx63QAAAAYB&#10;AAAPAAAAAAAAAAAAAAAAAGIEAABkcnMvZG93bnJldi54bWxQSwUGAAAAAAQABADzAAAAbAUAAAAA&#10;" o:allowoverlap="f" stroked="f">
                <v:textbox style="mso-fit-shape-to-text:t" inset="2mm,2mm,2mm,1mm">
                  <w:txbxContent>
                    <w:p w14:paraId="49985B33" w14:textId="67AC9B2D" w:rsidR="000B118B" w:rsidRDefault="000B118B" w:rsidP="00A179BB">
                      <w:pPr>
                        <w:pStyle w:val="Caption1"/>
                      </w:pPr>
                      <w:r>
                        <w:t>Графикон 1. Број привредних субјеката у општини Смедеревска Паланка</w:t>
                      </w:r>
                    </w:p>
                    <w:p w14:paraId="74EF9010" w14:textId="1EE1CF86" w:rsidR="000B118B" w:rsidRPr="00CA2D3A" w:rsidRDefault="000B118B" w:rsidP="00A179BB">
                      <w:pPr>
                        <w:pStyle w:val="Caption1"/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15C0745F" wp14:editId="33DA2309">
                            <wp:extent cx="2733675" cy="2482850"/>
                            <wp:effectExtent l="0" t="0" r="0" b="0"/>
                            <wp:docPr id="5" name="Chart 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85FCC27-7940-435A-A371-74D1FD50AF36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1"/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4270FD74" wp14:editId="79689A01">
                            <wp:extent cx="2797175" cy="2486025"/>
                            <wp:effectExtent l="0" t="0" r="3175" b="0"/>
                            <wp:docPr id="13" name="Chart 1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2323086-C91D-4B05-B46E-7A8CDB381ED7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2"/>
                              </a:graphicData>
                            </a:graphic>
                          </wp:inline>
                        </w:drawing>
                      </w:r>
                    </w:p>
                    <w:p w14:paraId="25769C2B" w14:textId="77777777" w:rsidR="000B118B" w:rsidRPr="00E35B2D" w:rsidRDefault="000B118B" w:rsidP="00A179BB">
                      <w:pPr>
                        <w:pStyle w:val="Caption1"/>
                        <w:rPr>
                          <w:b w:val="0"/>
                          <w:bCs/>
                          <w:color w:val="auto"/>
                          <w:sz w:val="16"/>
                          <w:szCs w:val="18"/>
                        </w:rPr>
                      </w:pPr>
                      <w:r w:rsidRPr="00E35B2D">
                        <w:rPr>
                          <w:b w:val="0"/>
                          <w:bCs/>
                          <w:color w:val="auto"/>
                          <w:sz w:val="16"/>
                          <w:szCs w:val="18"/>
                        </w:rPr>
                        <w:t>Извор:</w:t>
                      </w:r>
                      <w:r>
                        <w:rPr>
                          <w:b w:val="0"/>
                          <w:bCs/>
                          <w:color w:val="auto"/>
                          <w:sz w:val="16"/>
                          <w:szCs w:val="18"/>
                        </w:rPr>
                        <w:t xml:space="preserve"> Регистар </w:t>
                      </w:r>
                      <w:r w:rsidRPr="00E35B2D">
                        <w:rPr>
                          <w:b w:val="0"/>
                          <w:bCs/>
                          <w:color w:val="auto"/>
                          <w:sz w:val="16"/>
                          <w:szCs w:val="18"/>
                        </w:rPr>
                        <w:t>мера и подстицаја привредног развоја, Агенција за привредне регистре (</w:t>
                      </w:r>
                      <w:hyperlink r:id="rId14" w:history="1">
                        <w:r w:rsidRPr="00E35B2D">
                          <w:rPr>
                            <w:rStyle w:val="Hyperlink"/>
                            <w:b w:val="0"/>
                            <w:bCs/>
                            <w:sz w:val="16"/>
                            <w:szCs w:val="18"/>
                          </w:rPr>
                          <w:t>линк</w:t>
                        </w:r>
                      </w:hyperlink>
                      <w:r w:rsidRPr="00E35B2D">
                        <w:rPr>
                          <w:b w:val="0"/>
                          <w:bCs/>
                          <w:color w:val="auto"/>
                          <w:sz w:val="16"/>
                          <w:szCs w:val="18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751DA74" w14:textId="31C5173D" w:rsidR="002B3DA2" w:rsidRDefault="00725BB2" w:rsidP="003E02C1">
      <w:pPr>
        <w:rPr>
          <w:b/>
          <w:bCs/>
          <w:color w:val="2F5496"/>
          <w:lang w:eastAsia="en-US"/>
        </w:rPr>
      </w:pPr>
      <w:r w:rsidRPr="00725BB2">
        <w:rPr>
          <w:b/>
          <w:bCs/>
          <w:color w:val="2F5496"/>
          <w:lang w:eastAsia="en-US"/>
        </w:rPr>
        <w:t xml:space="preserve">Стопа настанка нових привредних субјеката </w:t>
      </w:r>
      <w:r>
        <w:rPr>
          <w:b/>
          <w:bCs/>
          <w:color w:val="2F5496"/>
          <w:lang w:eastAsia="en-US"/>
        </w:rPr>
        <w:t xml:space="preserve">у 2021. години је </w:t>
      </w:r>
      <w:r w:rsidR="005530BE">
        <w:rPr>
          <w:b/>
          <w:bCs/>
          <w:color w:val="2F5496"/>
          <w:lang w:eastAsia="en-US"/>
        </w:rPr>
        <w:t xml:space="preserve">углавном у складу са </w:t>
      </w:r>
      <w:r>
        <w:rPr>
          <w:b/>
          <w:bCs/>
          <w:color w:val="2F5496"/>
          <w:lang w:eastAsia="en-US"/>
        </w:rPr>
        <w:t xml:space="preserve">републичким </w:t>
      </w:r>
      <w:r w:rsidR="00081070">
        <w:rPr>
          <w:b/>
          <w:bCs/>
          <w:color w:val="2F5496"/>
          <w:lang w:eastAsia="en-US"/>
        </w:rPr>
        <w:t>просеком</w:t>
      </w:r>
      <w:r w:rsidR="00227927">
        <w:rPr>
          <w:b/>
          <w:bCs/>
          <w:color w:val="2F5496"/>
          <w:lang w:eastAsia="en-US"/>
        </w:rPr>
        <w:t xml:space="preserve"> и </w:t>
      </w:r>
      <w:r w:rsidR="00081070">
        <w:rPr>
          <w:b/>
          <w:bCs/>
          <w:color w:val="2F5496"/>
          <w:lang w:eastAsia="en-US"/>
        </w:rPr>
        <w:t xml:space="preserve">просеком </w:t>
      </w:r>
      <w:r w:rsidR="00227927">
        <w:rPr>
          <w:b/>
          <w:bCs/>
          <w:color w:val="2F5496"/>
          <w:lang w:eastAsia="en-US"/>
        </w:rPr>
        <w:t>Подунавске области</w:t>
      </w:r>
      <w:r w:rsidRPr="00725BB2">
        <w:rPr>
          <w:rStyle w:val="FootnoteReference"/>
          <w:lang w:eastAsia="en-US"/>
        </w:rPr>
        <w:footnoteReference w:id="15"/>
      </w:r>
      <w:r w:rsidRPr="00725BB2">
        <w:rPr>
          <w:lang w:eastAsia="en-US"/>
        </w:rPr>
        <w:t>.</w:t>
      </w:r>
      <w:r>
        <w:rPr>
          <w:lang w:eastAsia="en-US"/>
        </w:rPr>
        <w:t xml:space="preserve"> Наиме, стопа настанка предузетничких радњи у општини Смедеревска Паланка</w:t>
      </w:r>
      <w:r w:rsidR="00E67B31" w:rsidRPr="00E67B31">
        <w:rPr>
          <w:lang w:eastAsia="en-US"/>
        </w:rPr>
        <w:t xml:space="preserve"> </w:t>
      </w:r>
      <w:r>
        <w:rPr>
          <w:lang w:eastAsia="en-US"/>
        </w:rPr>
        <w:t xml:space="preserve">у 2021. години </w:t>
      </w:r>
      <w:r w:rsidR="005530BE">
        <w:rPr>
          <w:lang w:eastAsia="en-US"/>
        </w:rPr>
        <w:t xml:space="preserve">износила је 11,2%, </w:t>
      </w:r>
      <w:r w:rsidR="00227927">
        <w:rPr>
          <w:lang w:eastAsia="en-US"/>
        </w:rPr>
        <w:t xml:space="preserve">а стопа </w:t>
      </w:r>
      <w:r w:rsidR="005530BE">
        <w:rPr>
          <w:lang w:eastAsia="en-US"/>
        </w:rPr>
        <w:t>настанка привредних друштава</w:t>
      </w:r>
      <w:r w:rsidR="00227927">
        <w:rPr>
          <w:lang w:eastAsia="en-US"/>
        </w:rPr>
        <w:t xml:space="preserve"> је износила 7,2%</w:t>
      </w:r>
      <w:r w:rsidR="00227927" w:rsidRPr="00227927">
        <w:rPr>
          <w:rStyle w:val="FootnoteReference"/>
          <w:lang w:eastAsia="en-US"/>
        </w:rPr>
        <w:footnoteReference w:id="16"/>
      </w:r>
      <w:r w:rsidR="00227927" w:rsidRPr="00227927">
        <w:rPr>
          <w:lang w:eastAsia="en-US"/>
        </w:rPr>
        <w:t>.</w:t>
      </w:r>
      <w:r w:rsidR="00227927">
        <w:rPr>
          <w:lang w:eastAsia="en-US"/>
        </w:rPr>
        <w:t xml:space="preserve"> </w:t>
      </w:r>
    </w:p>
    <w:p w14:paraId="5E955D95" w14:textId="4FAFE2BA" w:rsidR="00374182" w:rsidRDefault="00374182" w:rsidP="003E02C1">
      <w:pPr>
        <w:rPr>
          <w:lang w:eastAsia="en-US"/>
        </w:rPr>
      </w:pPr>
      <w:r w:rsidRPr="00374182">
        <w:rPr>
          <w:lang w:eastAsia="en-US"/>
        </w:rPr>
        <w:lastRenderedPageBreak/>
        <w:t>Као позитивно се може оценити то да је</w:t>
      </w:r>
      <w:r w:rsidRPr="00374182">
        <w:rPr>
          <w:b/>
          <w:bCs/>
          <w:lang w:eastAsia="en-US"/>
        </w:rPr>
        <w:t xml:space="preserve"> </w:t>
      </w:r>
      <w:r>
        <w:rPr>
          <w:b/>
          <w:bCs/>
          <w:color w:val="2F5496"/>
          <w:lang w:eastAsia="en-US"/>
        </w:rPr>
        <w:t xml:space="preserve">број новооснованих </w:t>
      </w:r>
      <w:r w:rsidR="00F13D05">
        <w:rPr>
          <w:b/>
          <w:bCs/>
          <w:color w:val="2F5496"/>
          <w:lang w:eastAsia="en-US"/>
        </w:rPr>
        <w:t>предузетничких радњи</w:t>
      </w:r>
      <w:r>
        <w:rPr>
          <w:b/>
          <w:bCs/>
          <w:color w:val="2F5496"/>
          <w:lang w:eastAsia="en-US"/>
        </w:rPr>
        <w:t xml:space="preserve"> виши од броја оних кој</w:t>
      </w:r>
      <w:r w:rsidR="00C87E5C">
        <w:rPr>
          <w:b/>
          <w:bCs/>
          <w:color w:val="2F5496"/>
          <w:lang w:eastAsia="en-US"/>
        </w:rPr>
        <w:t>е</w:t>
      </w:r>
      <w:r>
        <w:rPr>
          <w:b/>
          <w:bCs/>
          <w:color w:val="2F5496"/>
          <w:lang w:eastAsia="en-US"/>
        </w:rPr>
        <w:t xml:space="preserve"> су угашен</w:t>
      </w:r>
      <w:r w:rsidR="00C87E5C">
        <w:rPr>
          <w:b/>
          <w:bCs/>
          <w:color w:val="2F5496"/>
          <w:lang w:eastAsia="en-US"/>
        </w:rPr>
        <w:t>е</w:t>
      </w:r>
      <w:r>
        <w:rPr>
          <w:b/>
          <w:bCs/>
          <w:color w:val="2F5496"/>
          <w:lang w:eastAsia="en-US"/>
        </w:rPr>
        <w:t xml:space="preserve"> или брисан</w:t>
      </w:r>
      <w:r w:rsidR="00C87E5C">
        <w:rPr>
          <w:b/>
          <w:bCs/>
          <w:color w:val="2F5496"/>
          <w:lang w:eastAsia="en-US"/>
        </w:rPr>
        <w:t>е</w:t>
      </w:r>
      <w:r w:rsidRPr="00374182">
        <w:rPr>
          <w:lang w:eastAsia="en-US"/>
        </w:rPr>
        <w:t>.</w:t>
      </w:r>
      <w:r>
        <w:rPr>
          <w:b/>
          <w:bCs/>
          <w:color w:val="2F5496"/>
          <w:lang w:eastAsia="en-US"/>
        </w:rPr>
        <w:t xml:space="preserve"> </w:t>
      </w:r>
      <w:r w:rsidRPr="00374182">
        <w:rPr>
          <w:lang w:eastAsia="en-US"/>
        </w:rPr>
        <w:t>Према</w:t>
      </w:r>
      <w:r w:rsidRPr="00374182">
        <w:rPr>
          <w:b/>
          <w:bCs/>
          <w:lang w:eastAsia="en-US"/>
        </w:rPr>
        <w:t xml:space="preserve"> </w:t>
      </w:r>
      <w:r w:rsidRPr="00374182">
        <w:rPr>
          <w:lang w:eastAsia="en-US"/>
        </w:rPr>
        <w:t>подацима</w:t>
      </w:r>
      <w:r>
        <w:rPr>
          <w:lang w:eastAsia="en-US"/>
        </w:rPr>
        <w:t xml:space="preserve"> АПР-</w:t>
      </w:r>
      <w:r w:rsidRPr="00374182">
        <w:rPr>
          <w:lang w:eastAsia="en-US"/>
        </w:rPr>
        <w:t>а</w:t>
      </w:r>
      <w:r w:rsidRPr="00374182">
        <w:rPr>
          <w:rStyle w:val="FootnoteReference"/>
          <w:lang w:eastAsia="en-US"/>
        </w:rPr>
        <w:footnoteReference w:id="17"/>
      </w:r>
      <w:r>
        <w:rPr>
          <w:lang w:eastAsia="en-US"/>
        </w:rPr>
        <w:t xml:space="preserve">, у периоду 2018-2021. године сваке године се оснива између 200 и </w:t>
      </w:r>
      <w:r w:rsidR="00975E12">
        <w:rPr>
          <w:lang w:eastAsia="en-US"/>
        </w:rPr>
        <w:t xml:space="preserve">260 </w:t>
      </w:r>
      <w:r>
        <w:rPr>
          <w:lang w:eastAsia="en-US"/>
        </w:rPr>
        <w:t xml:space="preserve">предузетничких радњи у општини Смедеревска Паланка, док број оних које су угашене или брисане на годишњем нивоу </w:t>
      </w:r>
      <w:r w:rsidR="00081070">
        <w:rPr>
          <w:lang w:eastAsia="en-US"/>
        </w:rPr>
        <w:t>износи</w:t>
      </w:r>
      <w:r>
        <w:rPr>
          <w:lang w:eastAsia="en-US"/>
        </w:rPr>
        <w:t xml:space="preserve"> између </w:t>
      </w:r>
      <w:r w:rsidR="00975E12">
        <w:rPr>
          <w:lang w:eastAsia="en-US"/>
        </w:rPr>
        <w:t>око 120 и 150.</w:t>
      </w:r>
      <w:r w:rsidR="006E5F24">
        <w:rPr>
          <w:lang w:eastAsia="en-US"/>
        </w:rPr>
        <w:t xml:space="preserve"> Међутим, </w:t>
      </w:r>
      <w:r w:rsidR="001E6679">
        <w:rPr>
          <w:lang w:eastAsia="en-US"/>
        </w:rPr>
        <w:t xml:space="preserve">то није случај и са привредним друштвима, јер је </w:t>
      </w:r>
      <w:r w:rsidR="006E5F24">
        <w:rPr>
          <w:lang w:eastAsia="en-US"/>
        </w:rPr>
        <w:t>број новооснованих друштава, који сваке године износи око 30, у периоду након 2019. нижи или на нивоу са бројем угашених или брисаних друштава.</w:t>
      </w:r>
    </w:p>
    <w:p w14:paraId="21D9F773" w14:textId="6F720986" w:rsidR="005825E3" w:rsidRDefault="00871FF7" w:rsidP="003E02C1">
      <w:pPr>
        <w:rPr>
          <w:lang w:eastAsia="en-US"/>
        </w:rPr>
      </w:pPr>
      <w:r>
        <w:rPr>
          <w:b/>
          <w:bCs/>
          <w:color w:val="2F5496"/>
          <w:lang w:eastAsia="en-US"/>
        </w:rPr>
        <w:t>Р</w:t>
      </w:r>
      <w:r w:rsidRPr="00871FF7">
        <w:rPr>
          <w:b/>
          <w:bCs/>
          <w:color w:val="2F5496"/>
          <w:lang w:eastAsia="en-US"/>
        </w:rPr>
        <w:t xml:space="preserve">езултати </w:t>
      </w:r>
      <w:r>
        <w:rPr>
          <w:b/>
          <w:bCs/>
          <w:color w:val="2F5496"/>
          <w:lang w:eastAsia="en-US"/>
        </w:rPr>
        <w:t xml:space="preserve">пословања </w:t>
      </w:r>
      <w:r w:rsidRPr="00871FF7">
        <w:rPr>
          <w:b/>
          <w:bCs/>
          <w:color w:val="2F5496"/>
          <w:lang w:eastAsia="en-US"/>
        </w:rPr>
        <w:t xml:space="preserve">привредних </w:t>
      </w:r>
      <w:r w:rsidR="00AF69FA">
        <w:rPr>
          <w:b/>
          <w:bCs/>
          <w:color w:val="2F5496"/>
          <w:lang w:eastAsia="en-US"/>
        </w:rPr>
        <w:t>друштава</w:t>
      </w:r>
      <w:r w:rsidRPr="00871FF7">
        <w:rPr>
          <w:b/>
          <w:bCs/>
          <w:color w:val="2F5496"/>
          <w:lang w:eastAsia="en-US"/>
        </w:rPr>
        <w:t xml:space="preserve"> регистрованих на територији општине Смедеревска Паланка</w:t>
      </w:r>
      <w:r w:rsidRPr="00871FF7">
        <w:rPr>
          <w:color w:val="2F5496"/>
          <w:lang w:eastAsia="en-US"/>
        </w:rPr>
        <w:t xml:space="preserve"> </w:t>
      </w:r>
      <w:r>
        <w:rPr>
          <w:lang w:eastAsia="en-US"/>
        </w:rPr>
        <w:t xml:space="preserve">се, на основу расположивих података, могу оценити као </w:t>
      </w:r>
      <w:r w:rsidR="00886219">
        <w:rPr>
          <w:b/>
          <w:bCs/>
          <w:color w:val="2F5496"/>
          <w:lang w:eastAsia="en-US"/>
        </w:rPr>
        <w:t>донекле</w:t>
      </w:r>
      <w:r w:rsidRPr="00871FF7">
        <w:rPr>
          <w:b/>
          <w:bCs/>
          <w:color w:val="2F5496"/>
          <w:lang w:eastAsia="en-US"/>
        </w:rPr>
        <w:t xml:space="preserve"> задовољавајући</w:t>
      </w:r>
      <w:r>
        <w:rPr>
          <w:lang w:eastAsia="en-US"/>
        </w:rPr>
        <w:t>. Ипак, мора се напоменути да се овакви закључци доносе на основу финансијских показатеља за привредн</w:t>
      </w:r>
      <w:r w:rsidR="00AF69FA">
        <w:rPr>
          <w:lang w:eastAsia="en-US"/>
        </w:rPr>
        <w:t>а</w:t>
      </w:r>
      <w:r>
        <w:rPr>
          <w:lang w:eastAsia="en-US"/>
        </w:rPr>
        <w:t xml:space="preserve"> </w:t>
      </w:r>
      <w:r w:rsidR="00AF69FA">
        <w:rPr>
          <w:lang w:eastAsia="en-US"/>
        </w:rPr>
        <w:t xml:space="preserve">друштва </w:t>
      </w:r>
      <w:r>
        <w:rPr>
          <w:lang w:eastAsia="en-US"/>
        </w:rPr>
        <w:t>кој</w:t>
      </w:r>
      <w:r w:rsidR="00AF69FA">
        <w:rPr>
          <w:lang w:eastAsia="en-US"/>
        </w:rPr>
        <w:t>а</w:t>
      </w:r>
      <w:r>
        <w:rPr>
          <w:lang w:eastAsia="en-US"/>
        </w:rPr>
        <w:t xml:space="preserve"> су предал</w:t>
      </w:r>
      <w:r w:rsidR="00AF69FA">
        <w:rPr>
          <w:lang w:eastAsia="en-US"/>
        </w:rPr>
        <w:t>а</w:t>
      </w:r>
      <w:r>
        <w:rPr>
          <w:lang w:eastAsia="en-US"/>
        </w:rPr>
        <w:t xml:space="preserve"> извештаје АПР-у</w:t>
      </w:r>
      <w:r>
        <w:rPr>
          <w:rStyle w:val="FootnoteReference"/>
          <w:lang w:eastAsia="en-US"/>
        </w:rPr>
        <w:footnoteReference w:id="18"/>
      </w:r>
      <w:r>
        <w:rPr>
          <w:lang w:eastAsia="en-US"/>
        </w:rPr>
        <w:t>, тако да нису обухваћен</w:t>
      </w:r>
      <w:r w:rsidR="00AF69FA">
        <w:rPr>
          <w:lang w:eastAsia="en-US"/>
        </w:rPr>
        <w:t>а</w:t>
      </w:r>
      <w:r>
        <w:rPr>
          <w:lang w:eastAsia="en-US"/>
        </w:rPr>
        <w:t xml:space="preserve"> </w:t>
      </w:r>
      <w:r w:rsidR="00AF69FA">
        <w:rPr>
          <w:lang w:eastAsia="en-US"/>
        </w:rPr>
        <w:t>сва активна друштва</w:t>
      </w:r>
      <w:r>
        <w:rPr>
          <w:lang w:eastAsia="en-US"/>
        </w:rPr>
        <w:t xml:space="preserve">. </w:t>
      </w:r>
      <w:r w:rsidR="00886219">
        <w:rPr>
          <w:lang w:eastAsia="en-US"/>
        </w:rPr>
        <w:t xml:space="preserve">У периоду 2018-2020. године, од укупног броја </w:t>
      </w:r>
      <w:r>
        <w:rPr>
          <w:lang w:eastAsia="en-US"/>
        </w:rPr>
        <w:t>привредн</w:t>
      </w:r>
      <w:r w:rsidR="00886219">
        <w:rPr>
          <w:lang w:eastAsia="en-US"/>
        </w:rPr>
        <w:t>их</w:t>
      </w:r>
      <w:r>
        <w:rPr>
          <w:lang w:eastAsia="en-US"/>
        </w:rPr>
        <w:t xml:space="preserve"> друшт</w:t>
      </w:r>
      <w:r w:rsidR="00886219">
        <w:rPr>
          <w:lang w:eastAsia="en-US"/>
        </w:rPr>
        <w:t>ава</w:t>
      </w:r>
      <w:r>
        <w:rPr>
          <w:lang w:eastAsia="en-US"/>
        </w:rPr>
        <w:t xml:space="preserve"> која су предала финансијске извештаје АПР-у</w:t>
      </w:r>
      <w:r w:rsidR="00886219">
        <w:rPr>
          <w:lang w:eastAsia="en-US"/>
        </w:rPr>
        <w:t>, константно више од 60% њих послује са добитком. Може се приметити да су укупни пословни приходи и укупна добит порасли</w:t>
      </w:r>
      <w:r w:rsidR="008A1026">
        <w:rPr>
          <w:lang w:eastAsia="en-US"/>
        </w:rPr>
        <w:t xml:space="preserve"> чак и у 2020</w:t>
      </w:r>
      <w:r w:rsidR="00886219">
        <w:rPr>
          <w:lang w:eastAsia="en-US"/>
        </w:rPr>
        <w:t xml:space="preserve">, упркос пандемији болести Ковид-19. </w:t>
      </w:r>
      <w:r w:rsidR="005825E3">
        <w:rPr>
          <w:lang w:eastAsia="en-US"/>
        </w:rPr>
        <w:t xml:space="preserve">Ипак, неповољна карактеристика је да свако четврто предузеће послује са губитком. </w:t>
      </w:r>
      <w:r w:rsidR="00DB5772">
        <w:rPr>
          <w:lang w:eastAsia="en-US"/>
        </w:rPr>
        <w:t xml:space="preserve">Када је реч о пословању предузетничких радњи, </w:t>
      </w:r>
      <w:r w:rsidR="00EF2DD0">
        <w:rPr>
          <w:lang w:eastAsia="en-US"/>
        </w:rPr>
        <w:t xml:space="preserve">број предузетника који предају финансијске извештаје АПР-у током посматраног периода не прелази 40%, што је недовољно за доношење оцене о </w:t>
      </w:r>
      <w:r w:rsidR="00BA6FC1">
        <w:rPr>
          <w:lang w:eastAsia="en-US"/>
        </w:rPr>
        <w:t>пословању ове категорије привредних субјеката</w:t>
      </w:r>
      <w:r w:rsidR="00EF2DD0">
        <w:rPr>
          <w:lang w:eastAsia="en-US"/>
        </w:rPr>
        <w:t xml:space="preserve">. </w:t>
      </w:r>
    </w:p>
    <w:p w14:paraId="6C0B2F26" w14:textId="02F6CF8B" w:rsidR="00914EF4" w:rsidRPr="00914EF4" w:rsidRDefault="002F33B3" w:rsidP="00B959B0">
      <w:pPr>
        <w:pStyle w:val="Caption1"/>
        <w:keepNext/>
        <w:spacing w:before="240"/>
      </w:pPr>
      <w:r>
        <w:t xml:space="preserve">Табела </w:t>
      </w:r>
      <w:r w:rsidR="00667406">
        <w:t>4</w:t>
      </w:r>
      <w:r>
        <w:t xml:space="preserve">. </w:t>
      </w:r>
      <w:r w:rsidR="00914EF4" w:rsidRPr="00914EF4">
        <w:t>Одабрани фин</w:t>
      </w:r>
      <w:r w:rsidR="0051543B">
        <w:t>ансијски</w:t>
      </w:r>
      <w:r w:rsidR="00914EF4" w:rsidRPr="00914EF4">
        <w:t xml:space="preserve"> показ</w:t>
      </w:r>
      <w:r w:rsidR="008279C5">
        <w:t>ат</w:t>
      </w:r>
      <w:r w:rsidR="00914EF4" w:rsidRPr="00914EF4">
        <w:t>ељи пословања прив</w:t>
      </w:r>
      <w:r w:rsidR="00A4598C">
        <w:t>р</w:t>
      </w:r>
      <w:r w:rsidR="002B3DA2">
        <w:t>едних</w:t>
      </w:r>
      <w:r w:rsidR="00914EF4" w:rsidRPr="00914EF4">
        <w:t xml:space="preserve"> субјеката у </w:t>
      </w:r>
      <w:r w:rsidR="002B3DA2">
        <w:t>општини Смедеревска Паланка</w:t>
      </w:r>
    </w:p>
    <w:tbl>
      <w:tblPr>
        <w:tblW w:w="0" w:type="auto"/>
        <w:tblBorders>
          <w:top w:val="single" w:sz="4" w:space="0" w:color="2F5496"/>
          <w:bottom w:val="single" w:sz="4" w:space="0" w:color="2F5496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992"/>
        <w:gridCol w:w="993"/>
        <w:gridCol w:w="283"/>
        <w:gridCol w:w="851"/>
        <w:gridCol w:w="850"/>
        <w:gridCol w:w="851"/>
      </w:tblGrid>
      <w:tr w:rsidR="003107B9" w:rsidRPr="00990839" w14:paraId="1AF8B524" w14:textId="77777777" w:rsidTr="00952FDF">
        <w:trPr>
          <w:trHeight w:val="57"/>
        </w:trPr>
        <w:tc>
          <w:tcPr>
            <w:tcW w:w="2977" w:type="dxa"/>
            <w:shd w:val="clear" w:color="000000" w:fill="2F5496"/>
            <w:noWrap/>
            <w:tcMar>
              <w:left w:w="57" w:type="dxa"/>
              <w:right w:w="57" w:type="dxa"/>
            </w:tcMar>
            <w:vAlign w:val="bottom"/>
            <w:hideMark/>
          </w:tcPr>
          <w:p w14:paraId="48B1B0B7" w14:textId="77777777" w:rsidR="003107B9" w:rsidRPr="003107B9" w:rsidRDefault="003107B9" w:rsidP="00B959B0">
            <w:pPr>
              <w:keepNext/>
              <w:spacing w:after="0" w:line="240" w:lineRule="auto"/>
              <w:jc w:val="left"/>
              <w:rPr>
                <w:b/>
                <w:bCs/>
                <w:color w:val="FFFFFF"/>
                <w:sz w:val="18"/>
                <w:szCs w:val="18"/>
              </w:rPr>
            </w:pPr>
            <w:r w:rsidRPr="003107B9">
              <w:rPr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shd w:val="clear" w:color="000000" w:fill="2F5496"/>
            <w:noWrap/>
            <w:tcMar>
              <w:left w:w="57" w:type="dxa"/>
              <w:right w:w="57" w:type="dxa"/>
            </w:tcMar>
            <w:vAlign w:val="bottom"/>
            <w:hideMark/>
          </w:tcPr>
          <w:p w14:paraId="63D539FD" w14:textId="77777777" w:rsidR="003107B9" w:rsidRPr="003107B9" w:rsidRDefault="003107B9" w:rsidP="00B959B0">
            <w:pPr>
              <w:keepNext/>
              <w:spacing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107B9">
              <w:rPr>
                <w:b/>
                <w:bCs/>
                <w:color w:val="FFFFFF"/>
                <w:sz w:val="18"/>
                <w:szCs w:val="18"/>
              </w:rPr>
              <w:t>Привредна друштва</w:t>
            </w:r>
          </w:p>
        </w:tc>
        <w:tc>
          <w:tcPr>
            <w:tcW w:w="283" w:type="dxa"/>
            <w:shd w:val="clear" w:color="000000" w:fill="2F5496"/>
            <w:noWrap/>
            <w:tcMar>
              <w:left w:w="57" w:type="dxa"/>
              <w:right w:w="57" w:type="dxa"/>
            </w:tcMar>
            <w:vAlign w:val="bottom"/>
            <w:hideMark/>
          </w:tcPr>
          <w:p w14:paraId="061E9321" w14:textId="77777777" w:rsidR="003107B9" w:rsidRPr="003107B9" w:rsidRDefault="003107B9" w:rsidP="00B959B0">
            <w:pPr>
              <w:keepNext/>
              <w:spacing w:after="0" w:line="240" w:lineRule="auto"/>
              <w:jc w:val="left"/>
              <w:rPr>
                <w:b/>
                <w:bCs/>
                <w:color w:val="FFFFFF"/>
                <w:sz w:val="18"/>
                <w:szCs w:val="18"/>
              </w:rPr>
            </w:pPr>
            <w:r w:rsidRPr="003107B9">
              <w:rPr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shd w:val="clear" w:color="000000" w:fill="2F5496"/>
            <w:noWrap/>
            <w:tcMar>
              <w:left w:w="57" w:type="dxa"/>
              <w:right w:w="57" w:type="dxa"/>
            </w:tcMar>
            <w:vAlign w:val="bottom"/>
            <w:hideMark/>
          </w:tcPr>
          <w:p w14:paraId="5DFF01E6" w14:textId="77777777" w:rsidR="003107B9" w:rsidRPr="003107B9" w:rsidRDefault="003107B9" w:rsidP="00B959B0">
            <w:pPr>
              <w:keepNext/>
              <w:spacing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107B9">
              <w:rPr>
                <w:b/>
                <w:bCs/>
                <w:color w:val="FFFFFF"/>
                <w:sz w:val="18"/>
                <w:szCs w:val="18"/>
              </w:rPr>
              <w:t>Предузетници</w:t>
            </w:r>
          </w:p>
        </w:tc>
      </w:tr>
      <w:tr w:rsidR="00024636" w:rsidRPr="00990839" w14:paraId="7AD97CFF" w14:textId="77777777" w:rsidTr="00B5450B">
        <w:trPr>
          <w:trHeight w:val="57"/>
        </w:trPr>
        <w:tc>
          <w:tcPr>
            <w:tcW w:w="2977" w:type="dxa"/>
            <w:tcBorders>
              <w:bottom w:val="nil"/>
            </w:tcBorders>
            <w:shd w:val="clear" w:color="000000" w:fill="2F5496"/>
            <w:noWrap/>
            <w:tcMar>
              <w:left w:w="57" w:type="dxa"/>
              <w:right w:w="57" w:type="dxa"/>
            </w:tcMar>
            <w:vAlign w:val="bottom"/>
            <w:hideMark/>
          </w:tcPr>
          <w:p w14:paraId="5249DEB9" w14:textId="77777777" w:rsidR="003107B9" w:rsidRPr="003107B9" w:rsidRDefault="003107B9" w:rsidP="00B959B0">
            <w:pPr>
              <w:keepNext/>
              <w:spacing w:after="0" w:line="240" w:lineRule="auto"/>
              <w:jc w:val="left"/>
              <w:rPr>
                <w:b/>
                <w:bCs/>
                <w:color w:val="FFFFFF"/>
                <w:sz w:val="18"/>
                <w:szCs w:val="18"/>
              </w:rPr>
            </w:pPr>
            <w:r w:rsidRPr="003107B9">
              <w:rPr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bottom w:val="nil"/>
            </w:tcBorders>
            <w:shd w:val="clear" w:color="000000" w:fill="2F5496"/>
            <w:noWrap/>
            <w:tcMar>
              <w:left w:w="57" w:type="dxa"/>
              <w:right w:w="57" w:type="dxa"/>
            </w:tcMar>
            <w:vAlign w:val="bottom"/>
            <w:hideMark/>
          </w:tcPr>
          <w:p w14:paraId="76F24555" w14:textId="77777777" w:rsidR="003107B9" w:rsidRPr="003107B9" w:rsidRDefault="003107B9" w:rsidP="00B959B0">
            <w:pPr>
              <w:keepNext/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 w:rsidRPr="003107B9">
              <w:rPr>
                <w:color w:val="FFFFFF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bottom w:val="nil"/>
            </w:tcBorders>
            <w:shd w:val="clear" w:color="000000" w:fill="2F5496"/>
            <w:noWrap/>
            <w:tcMar>
              <w:left w:w="57" w:type="dxa"/>
              <w:right w:w="57" w:type="dxa"/>
            </w:tcMar>
            <w:vAlign w:val="bottom"/>
            <w:hideMark/>
          </w:tcPr>
          <w:p w14:paraId="475ABDD2" w14:textId="77777777" w:rsidR="003107B9" w:rsidRPr="003107B9" w:rsidRDefault="003107B9" w:rsidP="00B959B0">
            <w:pPr>
              <w:keepNext/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 w:rsidRPr="003107B9">
              <w:rPr>
                <w:color w:val="FFFFFF"/>
                <w:sz w:val="18"/>
                <w:szCs w:val="18"/>
              </w:rPr>
              <w:t>2019</w:t>
            </w:r>
          </w:p>
        </w:tc>
        <w:tc>
          <w:tcPr>
            <w:tcW w:w="993" w:type="dxa"/>
            <w:tcBorders>
              <w:bottom w:val="nil"/>
            </w:tcBorders>
            <w:shd w:val="clear" w:color="000000" w:fill="2F5496"/>
            <w:noWrap/>
            <w:tcMar>
              <w:left w:w="57" w:type="dxa"/>
              <w:right w:w="57" w:type="dxa"/>
            </w:tcMar>
            <w:vAlign w:val="bottom"/>
            <w:hideMark/>
          </w:tcPr>
          <w:p w14:paraId="7F310983" w14:textId="77777777" w:rsidR="003107B9" w:rsidRPr="003107B9" w:rsidRDefault="003107B9" w:rsidP="00B959B0">
            <w:pPr>
              <w:keepNext/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 w:rsidRPr="003107B9">
              <w:rPr>
                <w:color w:val="FFFFFF"/>
                <w:sz w:val="18"/>
                <w:szCs w:val="18"/>
              </w:rPr>
              <w:t>2020</w:t>
            </w:r>
          </w:p>
        </w:tc>
        <w:tc>
          <w:tcPr>
            <w:tcW w:w="283" w:type="dxa"/>
            <w:tcBorders>
              <w:bottom w:val="nil"/>
            </w:tcBorders>
            <w:shd w:val="clear" w:color="000000" w:fill="2F5496"/>
            <w:noWrap/>
            <w:tcMar>
              <w:left w:w="57" w:type="dxa"/>
              <w:right w:w="57" w:type="dxa"/>
            </w:tcMar>
            <w:vAlign w:val="bottom"/>
            <w:hideMark/>
          </w:tcPr>
          <w:p w14:paraId="1746D9D5" w14:textId="77777777" w:rsidR="003107B9" w:rsidRPr="003107B9" w:rsidRDefault="003107B9" w:rsidP="00B959B0">
            <w:pPr>
              <w:keepNext/>
              <w:spacing w:after="0" w:line="240" w:lineRule="auto"/>
              <w:jc w:val="left"/>
              <w:rPr>
                <w:color w:val="FFFFFF"/>
                <w:sz w:val="18"/>
                <w:szCs w:val="18"/>
              </w:rPr>
            </w:pPr>
            <w:r w:rsidRPr="003107B9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bottom w:val="nil"/>
            </w:tcBorders>
            <w:shd w:val="clear" w:color="000000" w:fill="2F5496"/>
            <w:noWrap/>
            <w:tcMar>
              <w:left w:w="57" w:type="dxa"/>
              <w:right w:w="57" w:type="dxa"/>
            </w:tcMar>
            <w:vAlign w:val="bottom"/>
            <w:hideMark/>
          </w:tcPr>
          <w:p w14:paraId="141F81F2" w14:textId="77777777" w:rsidR="003107B9" w:rsidRPr="003107B9" w:rsidRDefault="003107B9" w:rsidP="00B959B0">
            <w:pPr>
              <w:keepNext/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 w:rsidRPr="003107B9">
              <w:rPr>
                <w:color w:val="FFFFFF"/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bottom w:val="nil"/>
            </w:tcBorders>
            <w:shd w:val="clear" w:color="000000" w:fill="2F5496"/>
            <w:noWrap/>
            <w:tcMar>
              <w:left w:w="57" w:type="dxa"/>
              <w:right w:w="57" w:type="dxa"/>
            </w:tcMar>
            <w:vAlign w:val="bottom"/>
            <w:hideMark/>
          </w:tcPr>
          <w:p w14:paraId="17C8D1EC" w14:textId="77777777" w:rsidR="003107B9" w:rsidRPr="003107B9" w:rsidRDefault="003107B9" w:rsidP="00B959B0">
            <w:pPr>
              <w:keepNext/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 w:rsidRPr="003107B9">
              <w:rPr>
                <w:color w:val="FFFFFF"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bottom w:val="nil"/>
            </w:tcBorders>
            <w:shd w:val="clear" w:color="000000" w:fill="2F5496"/>
            <w:noWrap/>
            <w:tcMar>
              <w:left w:w="57" w:type="dxa"/>
              <w:right w:w="57" w:type="dxa"/>
            </w:tcMar>
            <w:vAlign w:val="bottom"/>
            <w:hideMark/>
          </w:tcPr>
          <w:p w14:paraId="0E29F645" w14:textId="77777777" w:rsidR="003107B9" w:rsidRPr="003107B9" w:rsidRDefault="003107B9" w:rsidP="00B959B0">
            <w:pPr>
              <w:keepNext/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 w:rsidRPr="003107B9">
              <w:rPr>
                <w:color w:val="FFFFFF"/>
                <w:sz w:val="18"/>
                <w:szCs w:val="18"/>
              </w:rPr>
              <w:t>2020</w:t>
            </w:r>
          </w:p>
        </w:tc>
      </w:tr>
      <w:tr w:rsidR="00B5450B" w:rsidRPr="00990839" w14:paraId="44739ACE" w14:textId="77777777" w:rsidTr="00BF5BD8">
        <w:trPr>
          <w:trHeight w:val="57"/>
        </w:trPr>
        <w:tc>
          <w:tcPr>
            <w:tcW w:w="8931" w:type="dxa"/>
            <w:gridSpan w:val="8"/>
            <w:tcBorders>
              <w:top w:val="nil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hideMark/>
          </w:tcPr>
          <w:p w14:paraId="61A650B8" w14:textId="6382A1C4" w:rsidR="00B5450B" w:rsidRPr="003107B9" w:rsidRDefault="00B5450B" w:rsidP="00B5450B">
            <w:pPr>
              <w:keepNext/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107B9">
              <w:rPr>
                <w:b/>
                <w:bCs/>
                <w:color w:val="000000"/>
                <w:sz w:val="18"/>
                <w:szCs w:val="18"/>
              </w:rPr>
              <w:t>Субјекти који су предали фин</w:t>
            </w:r>
            <w:r w:rsidR="00990839" w:rsidRPr="00990839">
              <w:rPr>
                <w:b/>
                <w:bCs/>
                <w:color w:val="000000"/>
                <w:sz w:val="18"/>
                <w:szCs w:val="18"/>
              </w:rPr>
              <w:t>ансијске</w:t>
            </w:r>
            <w:r w:rsidRPr="003107B9">
              <w:rPr>
                <w:b/>
                <w:bCs/>
                <w:color w:val="000000"/>
                <w:sz w:val="18"/>
                <w:szCs w:val="18"/>
              </w:rPr>
              <w:t xml:space="preserve"> извештаје АПР-у</w:t>
            </w:r>
            <w:r w:rsidRPr="003107B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598B" w:rsidRPr="00990839" w14:paraId="6242BB0D" w14:textId="77777777" w:rsidTr="00BF5BD8">
        <w:trPr>
          <w:trHeight w:val="57"/>
        </w:trPr>
        <w:tc>
          <w:tcPr>
            <w:tcW w:w="2977" w:type="dxa"/>
            <w:tcBorders>
              <w:top w:val="single" w:sz="4" w:space="0" w:color="2F5496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hideMark/>
          </w:tcPr>
          <w:p w14:paraId="2206A342" w14:textId="651C02AB" w:rsidR="0076598B" w:rsidRPr="003107B9" w:rsidRDefault="0076598B" w:rsidP="0076598B">
            <w:pPr>
              <w:keepNext/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990839">
              <w:rPr>
                <w:color w:val="000000"/>
                <w:sz w:val="18"/>
                <w:szCs w:val="18"/>
              </w:rPr>
              <w:t>Б</w:t>
            </w:r>
            <w:r w:rsidRPr="003107B9">
              <w:rPr>
                <w:color w:val="000000"/>
                <w:sz w:val="18"/>
                <w:szCs w:val="18"/>
              </w:rPr>
              <w:t>рој</w:t>
            </w:r>
          </w:p>
        </w:tc>
        <w:tc>
          <w:tcPr>
            <w:tcW w:w="1134" w:type="dxa"/>
            <w:tcBorders>
              <w:top w:val="single" w:sz="4" w:space="0" w:color="2F5496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73B1ED52" w14:textId="648360FE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</w:t>
            </w:r>
          </w:p>
        </w:tc>
        <w:tc>
          <w:tcPr>
            <w:tcW w:w="992" w:type="dxa"/>
            <w:tcBorders>
              <w:top w:val="single" w:sz="4" w:space="0" w:color="2F5496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0BEA5489" w14:textId="1F2CED2E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single" w:sz="4" w:space="0" w:color="2F5496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37B9B50E" w14:textId="1993CFAF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283" w:type="dxa"/>
            <w:tcBorders>
              <w:top w:val="single" w:sz="4" w:space="0" w:color="2F5496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6A63B725" w14:textId="56933B79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2F5496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0E75F736" w14:textId="695D750F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4" w:space="0" w:color="2F5496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5E999441" w14:textId="4160B410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851" w:type="dxa"/>
            <w:tcBorders>
              <w:top w:val="single" w:sz="4" w:space="0" w:color="2F5496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44D95FF3" w14:textId="35E8AE11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</w:t>
            </w:r>
          </w:p>
        </w:tc>
      </w:tr>
      <w:tr w:rsidR="0076598B" w:rsidRPr="00990839" w14:paraId="5484A5A7" w14:textId="77777777" w:rsidTr="00BF5BD8">
        <w:trPr>
          <w:trHeight w:val="57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hideMark/>
          </w:tcPr>
          <w:p w14:paraId="350ED065" w14:textId="407BF2FA" w:rsidR="0076598B" w:rsidRPr="003107B9" w:rsidRDefault="0076598B" w:rsidP="0076598B">
            <w:pPr>
              <w:keepNext/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107B9">
              <w:rPr>
                <w:color w:val="000000"/>
                <w:sz w:val="18"/>
                <w:szCs w:val="18"/>
              </w:rPr>
              <w:t>% од укупног броја акт</w:t>
            </w:r>
            <w:r w:rsidRPr="00990839">
              <w:rPr>
                <w:color w:val="000000"/>
                <w:sz w:val="18"/>
                <w:szCs w:val="18"/>
              </w:rPr>
              <w:t>.</w:t>
            </w:r>
            <w:r w:rsidRPr="003107B9">
              <w:rPr>
                <w:color w:val="000000"/>
                <w:sz w:val="18"/>
                <w:szCs w:val="18"/>
              </w:rPr>
              <w:t xml:space="preserve"> </w:t>
            </w:r>
            <w:r w:rsidRPr="00990839">
              <w:rPr>
                <w:color w:val="000000"/>
                <w:sz w:val="18"/>
                <w:szCs w:val="18"/>
              </w:rPr>
              <w:t>субјеката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145D7109" w14:textId="3A6A9D5D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62,2%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5FC61E8A" w14:textId="2723D4CD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74,6%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4E8E7DC8" w14:textId="24A7720C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79,1%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4B7C3FD7" w14:textId="46CF0B54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78AA014E" w14:textId="0FF26E9C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6,1%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2D010440" w14:textId="628A0906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36,9%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1B0CC8EB" w14:textId="6489076A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35,7%</w:t>
            </w:r>
          </w:p>
        </w:tc>
      </w:tr>
      <w:tr w:rsidR="0076598B" w:rsidRPr="00990839" w14:paraId="52032C2A" w14:textId="77777777" w:rsidTr="00BF5BD8">
        <w:trPr>
          <w:trHeight w:val="57"/>
        </w:trPr>
        <w:tc>
          <w:tcPr>
            <w:tcW w:w="2977" w:type="dxa"/>
            <w:tcBorders>
              <w:top w:val="nil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hideMark/>
          </w:tcPr>
          <w:p w14:paraId="7FD3E00A" w14:textId="77777777" w:rsidR="0076598B" w:rsidRPr="003107B9" w:rsidRDefault="0076598B" w:rsidP="0076598B">
            <w:pPr>
              <w:keepNext/>
              <w:spacing w:after="0" w:line="240" w:lineRule="auto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3107B9">
              <w:rPr>
                <w:b/>
                <w:bCs/>
                <w:color w:val="000000"/>
                <w:sz w:val="18"/>
                <w:szCs w:val="18"/>
              </w:rPr>
              <w:t>Пословни приходи, у млн РСД</w:t>
            </w:r>
          </w:p>
        </w:tc>
        <w:tc>
          <w:tcPr>
            <w:tcW w:w="1134" w:type="dxa"/>
            <w:tcBorders>
              <w:top w:val="nil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7E46E0CE" w14:textId="77EE5E59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16.587,1</w:t>
            </w:r>
          </w:p>
        </w:tc>
        <w:tc>
          <w:tcPr>
            <w:tcW w:w="992" w:type="dxa"/>
            <w:tcBorders>
              <w:top w:val="nil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002B44BD" w14:textId="0EA66B4E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16.071,4</w:t>
            </w:r>
          </w:p>
        </w:tc>
        <w:tc>
          <w:tcPr>
            <w:tcW w:w="993" w:type="dxa"/>
            <w:tcBorders>
              <w:top w:val="nil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16F8AA8E" w14:textId="216F4343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18.571,0</w:t>
            </w:r>
          </w:p>
        </w:tc>
        <w:tc>
          <w:tcPr>
            <w:tcW w:w="283" w:type="dxa"/>
            <w:tcBorders>
              <w:top w:val="nil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5CB3BD49" w14:textId="44743675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76718E76" w14:textId="395A0D88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713,5</w:t>
            </w:r>
          </w:p>
        </w:tc>
        <w:tc>
          <w:tcPr>
            <w:tcW w:w="850" w:type="dxa"/>
            <w:tcBorders>
              <w:top w:val="nil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7D733B53" w14:textId="4EC5EAE1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4.703,7</w:t>
            </w:r>
          </w:p>
        </w:tc>
        <w:tc>
          <w:tcPr>
            <w:tcW w:w="851" w:type="dxa"/>
            <w:tcBorders>
              <w:top w:val="nil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48B7E619" w14:textId="19D096BA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5.049,3</w:t>
            </w:r>
          </w:p>
        </w:tc>
      </w:tr>
      <w:tr w:rsidR="0076598B" w:rsidRPr="00990839" w14:paraId="56A3368F" w14:textId="77777777" w:rsidTr="00BF5BD8">
        <w:trPr>
          <w:trHeight w:val="57"/>
        </w:trPr>
        <w:tc>
          <w:tcPr>
            <w:tcW w:w="2977" w:type="dxa"/>
            <w:tcBorders>
              <w:top w:val="single" w:sz="4" w:space="0" w:color="2F5496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hideMark/>
          </w:tcPr>
          <w:p w14:paraId="5EC2345A" w14:textId="77777777" w:rsidR="0076598B" w:rsidRPr="003107B9" w:rsidRDefault="0076598B" w:rsidP="0076598B">
            <w:pPr>
              <w:keepNext/>
              <w:spacing w:after="0" w:line="240" w:lineRule="auto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3107B9">
              <w:rPr>
                <w:b/>
                <w:bCs/>
                <w:color w:val="000000"/>
                <w:sz w:val="18"/>
                <w:szCs w:val="18"/>
              </w:rPr>
              <w:t>Нето добитак, у млн РСД</w:t>
            </w:r>
          </w:p>
        </w:tc>
        <w:tc>
          <w:tcPr>
            <w:tcW w:w="1134" w:type="dxa"/>
            <w:tcBorders>
              <w:top w:val="single" w:sz="4" w:space="0" w:color="2F5496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5B5F4C84" w14:textId="72332101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819,0</w:t>
            </w:r>
          </w:p>
        </w:tc>
        <w:tc>
          <w:tcPr>
            <w:tcW w:w="992" w:type="dxa"/>
            <w:tcBorders>
              <w:top w:val="single" w:sz="4" w:space="0" w:color="2F5496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72074C67" w14:textId="2E860F7C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1.548,9</w:t>
            </w:r>
          </w:p>
        </w:tc>
        <w:tc>
          <w:tcPr>
            <w:tcW w:w="993" w:type="dxa"/>
            <w:tcBorders>
              <w:top w:val="single" w:sz="4" w:space="0" w:color="2F5496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1D0AED34" w14:textId="680CE614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2.228,9</w:t>
            </w:r>
          </w:p>
        </w:tc>
        <w:tc>
          <w:tcPr>
            <w:tcW w:w="283" w:type="dxa"/>
            <w:tcBorders>
              <w:top w:val="single" w:sz="4" w:space="0" w:color="2F5496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473A9904" w14:textId="51E38BE5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2F5496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2E0CFFFA" w14:textId="217AA8FC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15,6</w:t>
            </w:r>
          </w:p>
        </w:tc>
        <w:tc>
          <w:tcPr>
            <w:tcW w:w="850" w:type="dxa"/>
            <w:tcBorders>
              <w:top w:val="single" w:sz="4" w:space="0" w:color="2F5496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43C4E546" w14:textId="79B18863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104,1</w:t>
            </w:r>
          </w:p>
        </w:tc>
        <w:tc>
          <w:tcPr>
            <w:tcW w:w="851" w:type="dxa"/>
            <w:tcBorders>
              <w:top w:val="single" w:sz="4" w:space="0" w:color="2F5496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739C84E5" w14:textId="2ACA2AB0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125,0</w:t>
            </w:r>
          </w:p>
        </w:tc>
      </w:tr>
      <w:tr w:rsidR="00024636" w:rsidRPr="00990839" w14:paraId="4D7EEEA9" w14:textId="77777777" w:rsidTr="00B5450B">
        <w:trPr>
          <w:trHeight w:val="57"/>
        </w:trPr>
        <w:tc>
          <w:tcPr>
            <w:tcW w:w="8931" w:type="dxa"/>
            <w:gridSpan w:val="8"/>
            <w:tcBorders>
              <w:top w:val="single" w:sz="4" w:space="0" w:color="2F5496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hideMark/>
          </w:tcPr>
          <w:p w14:paraId="7B9991E5" w14:textId="05719941" w:rsidR="00024636" w:rsidRPr="003107B9" w:rsidRDefault="00024636" w:rsidP="00B959B0">
            <w:pPr>
              <w:keepNext/>
              <w:spacing w:after="0" w:line="240" w:lineRule="auto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90839">
              <w:rPr>
                <w:b/>
                <w:bCs/>
                <w:color w:val="000000"/>
                <w:sz w:val="18"/>
                <w:szCs w:val="18"/>
              </w:rPr>
              <w:t>Субјекти</w:t>
            </w:r>
            <w:r w:rsidRPr="003107B9">
              <w:rPr>
                <w:b/>
                <w:bCs/>
                <w:color w:val="000000"/>
                <w:sz w:val="18"/>
                <w:szCs w:val="18"/>
              </w:rPr>
              <w:t xml:space="preserve"> који су остварили нето добитак </w:t>
            </w:r>
          </w:p>
        </w:tc>
      </w:tr>
      <w:tr w:rsidR="0076598B" w:rsidRPr="00990839" w14:paraId="5152ADF4" w14:textId="77777777" w:rsidTr="00BF5BD8">
        <w:trPr>
          <w:trHeight w:val="57"/>
        </w:trPr>
        <w:tc>
          <w:tcPr>
            <w:tcW w:w="2977" w:type="dxa"/>
            <w:tcBorders>
              <w:top w:val="single" w:sz="4" w:space="0" w:color="2F5496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hideMark/>
          </w:tcPr>
          <w:p w14:paraId="19969599" w14:textId="77777777" w:rsidR="0076598B" w:rsidRPr="003107B9" w:rsidRDefault="0076598B" w:rsidP="0076598B">
            <w:pPr>
              <w:keepNext/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107B9">
              <w:rPr>
                <w:color w:val="000000"/>
                <w:sz w:val="18"/>
                <w:szCs w:val="18"/>
              </w:rPr>
              <w:t>Број</w:t>
            </w:r>
          </w:p>
        </w:tc>
        <w:tc>
          <w:tcPr>
            <w:tcW w:w="1134" w:type="dxa"/>
            <w:tcBorders>
              <w:top w:val="single" w:sz="4" w:space="0" w:color="2F5496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40F5DE02" w14:textId="75B01DE2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992" w:type="dxa"/>
            <w:tcBorders>
              <w:top w:val="single" w:sz="4" w:space="0" w:color="2F5496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3352BAE2" w14:textId="00776F53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993" w:type="dxa"/>
            <w:tcBorders>
              <w:top w:val="single" w:sz="4" w:space="0" w:color="2F5496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07D846DF" w14:textId="00F67F53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3" w:type="dxa"/>
            <w:tcBorders>
              <w:top w:val="single" w:sz="4" w:space="0" w:color="2F5496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0F239987" w14:textId="0B7F412A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2F5496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63C59294" w14:textId="2BF3951A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2F5496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2D951CFF" w14:textId="3AABD16C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851" w:type="dxa"/>
            <w:tcBorders>
              <w:top w:val="single" w:sz="4" w:space="0" w:color="2F5496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4C862553" w14:textId="6C8DE7D6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</w:t>
            </w:r>
          </w:p>
        </w:tc>
      </w:tr>
      <w:tr w:rsidR="0076598B" w:rsidRPr="00990839" w14:paraId="76F08855" w14:textId="77777777" w:rsidTr="00BF5BD8">
        <w:trPr>
          <w:trHeight w:val="57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hideMark/>
          </w:tcPr>
          <w:p w14:paraId="6BE84A72" w14:textId="7FF49A1C" w:rsidR="0076598B" w:rsidRPr="003107B9" w:rsidRDefault="0076598B" w:rsidP="00FB1E43">
            <w:pP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107B9">
              <w:rPr>
                <w:color w:val="000000"/>
                <w:sz w:val="18"/>
                <w:szCs w:val="18"/>
              </w:rPr>
              <w:t>% од укупног броја субјеката који су предали фин</w:t>
            </w:r>
            <w:r w:rsidRPr="00990839">
              <w:rPr>
                <w:color w:val="000000"/>
                <w:sz w:val="18"/>
                <w:szCs w:val="18"/>
              </w:rPr>
              <w:t>.</w:t>
            </w:r>
            <w:r w:rsidRPr="003107B9">
              <w:rPr>
                <w:color w:val="000000"/>
                <w:sz w:val="18"/>
                <w:szCs w:val="18"/>
              </w:rPr>
              <w:t xml:space="preserve"> извештаје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497CEB54" w14:textId="1B03E126" w:rsidR="0076598B" w:rsidRPr="00531619" w:rsidRDefault="0076598B" w:rsidP="00FB1E43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62,6%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585CCF5A" w14:textId="7EE13190" w:rsidR="0076598B" w:rsidRPr="00531619" w:rsidRDefault="0076598B" w:rsidP="00FB1E43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61,9%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7B8BA7BA" w14:textId="20375B73" w:rsidR="0076598B" w:rsidRPr="00531619" w:rsidRDefault="0076598B" w:rsidP="00FB1E43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62,9%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37AE8A53" w14:textId="06BC0141" w:rsidR="0076598B" w:rsidRPr="00531619" w:rsidRDefault="0076598B" w:rsidP="00FB1E43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3DFD6074" w14:textId="7588D01C" w:rsidR="0076598B" w:rsidRPr="00531619" w:rsidRDefault="0076598B" w:rsidP="00FB1E43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72,2%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3C6A14DD" w14:textId="1CA4B68A" w:rsidR="0076598B" w:rsidRPr="00531619" w:rsidRDefault="0076598B" w:rsidP="00FB1E43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82,0%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4CAF2A24" w14:textId="75FB830D" w:rsidR="0076598B" w:rsidRPr="00531619" w:rsidRDefault="0076598B" w:rsidP="00FB1E43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77,3%</w:t>
            </w:r>
          </w:p>
        </w:tc>
      </w:tr>
      <w:tr w:rsidR="0076598B" w:rsidRPr="00990839" w14:paraId="44818F69" w14:textId="77777777" w:rsidTr="00BF5BD8">
        <w:trPr>
          <w:trHeight w:val="57"/>
        </w:trPr>
        <w:tc>
          <w:tcPr>
            <w:tcW w:w="2977" w:type="dxa"/>
            <w:tcBorders>
              <w:top w:val="nil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hideMark/>
          </w:tcPr>
          <w:p w14:paraId="04AB1C3E" w14:textId="77777777" w:rsidR="0076598B" w:rsidRPr="003107B9" w:rsidRDefault="0076598B" w:rsidP="0076598B">
            <w:pPr>
              <w:keepNext/>
              <w:spacing w:after="0" w:line="240" w:lineRule="auto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3107B9">
              <w:rPr>
                <w:b/>
                <w:bCs/>
                <w:color w:val="000000"/>
                <w:sz w:val="18"/>
                <w:szCs w:val="18"/>
              </w:rPr>
              <w:t>Нето губитак, у млн РСД</w:t>
            </w:r>
          </w:p>
        </w:tc>
        <w:tc>
          <w:tcPr>
            <w:tcW w:w="1134" w:type="dxa"/>
            <w:tcBorders>
              <w:top w:val="nil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336737A3" w14:textId="4CDF8F65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139,9</w:t>
            </w:r>
          </w:p>
        </w:tc>
        <w:tc>
          <w:tcPr>
            <w:tcW w:w="992" w:type="dxa"/>
            <w:tcBorders>
              <w:top w:val="nil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19CE3C23" w14:textId="378CF154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698,0</w:t>
            </w:r>
          </w:p>
        </w:tc>
        <w:tc>
          <w:tcPr>
            <w:tcW w:w="993" w:type="dxa"/>
            <w:tcBorders>
              <w:top w:val="nil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17E5CEFA" w14:textId="351302FA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215,4</w:t>
            </w:r>
          </w:p>
        </w:tc>
        <w:tc>
          <w:tcPr>
            <w:tcW w:w="283" w:type="dxa"/>
            <w:tcBorders>
              <w:top w:val="nil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66421280" w14:textId="3565F408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0FCCB5DC" w14:textId="234FAE20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10,5</w:t>
            </w:r>
          </w:p>
        </w:tc>
        <w:tc>
          <w:tcPr>
            <w:tcW w:w="850" w:type="dxa"/>
            <w:tcBorders>
              <w:top w:val="nil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3B6967FA" w14:textId="42D7C596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26,1</w:t>
            </w:r>
          </w:p>
        </w:tc>
        <w:tc>
          <w:tcPr>
            <w:tcW w:w="851" w:type="dxa"/>
            <w:tcBorders>
              <w:top w:val="nil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55C6BE5B" w14:textId="6AC3DBAA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24,9</w:t>
            </w:r>
          </w:p>
        </w:tc>
      </w:tr>
      <w:tr w:rsidR="00B5450B" w:rsidRPr="00990839" w14:paraId="6DD8325F" w14:textId="77777777" w:rsidTr="00BF5BD8">
        <w:trPr>
          <w:trHeight w:val="57"/>
        </w:trPr>
        <w:tc>
          <w:tcPr>
            <w:tcW w:w="8931" w:type="dxa"/>
            <w:gridSpan w:val="8"/>
            <w:tcBorders>
              <w:top w:val="single" w:sz="4" w:space="0" w:color="2F5496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hideMark/>
          </w:tcPr>
          <w:p w14:paraId="0A800F50" w14:textId="780C38A4" w:rsidR="00B5450B" w:rsidRPr="003107B9" w:rsidRDefault="00B5450B" w:rsidP="00B5450B">
            <w:pPr>
              <w:keepNext/>
              <w:spacing w:after="0" w:line="240" w:lineRule="auto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3107B9">
              <w:rPr>
                <w:b/>
                <w:bCs/>
                <w:color w:val="000000"/>
                <w:sz w:val="18"/>
                <w:szCs w:val="18"/>
              </w:rPr>
              <w:t>Субјекти који су остварили нето губитак </w:t>
            </w:r>
          </w:p>
        </w:tc>
      </w:tr>
      <w:tr w:rsidR="0076598B" w:rsidRPr="00990839" w14:paraId="38762F3B" w14:textId="77777777" w:rsidTr="00BF5BD8">
        <w:trPr>
          <w:trHeight w:val="57"/>
        </w:trPr>
        <w:tc>
          <w:tcPr>
            <w:tcW w:w="2977" w:type="dxa"/>
            <w:tcBorders>
              <w:top w:val="single" w:sz="4" w:space="0" w:color="2F5496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hideMark/>
          </w:tcPr>
          <w:p w14:paraId="1A115D33" w14:textId="77777777" w:rsidR="0076598B" w:rsidRPr="003107B9" w:rsidRDefault="0076598B" w:rsidP="0076598B">
            <w:pPr>
              <w:keepNext/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107B9">
              <w:rPr>
                <w:color w:val="000000"/>
                <w:sz w:val="18"/>
                <w:szCs w:val="18"/>
              </w:rPr>
              <w:t>Број</w:t>
            </w:r>
          </w:p>
        </w:tc>
        <w:tc>
          <w:tcPr>
            <w:tcW w:w="1134" w:type="dxa"/>
            <w:tcBorders>
              <w:top w:val="single" w:sz="4" w:space="0" w:color="2F5496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27313C94" w14:textId="617C9638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2F5496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26EDC572" w14:textId="039BCD1F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4" w:space="0" w:color="2F5496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0ABC6B6D" w14:textId="0B18CB86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83" w:type="dxa"/>
            <w:tcBorders>
              <w:top w:val="single" w:sz="4" w:space="0" w:color="2F5496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7971F33C" w14:textId="51447C11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2F5496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238D3F4F" w14:textId="4B586E58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4" w:space="0" w:color="2F5496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7CC26C92" w14:textId="1A8DFB77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top w:val="single" w:sz="4" w:space="0" w:color="2F5496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49CC2A0E" w14:textId="53F4C15F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</w:tr>
      <w:tr w:rsidR="0076598B" w:rsidRPr="00990839" w14:paraId="06F13045" w14:textId="77777777" w:rsidTr="00BF5BD8">
        <w:trPr>
          <w:trHeight w:val="57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hideMark/>
          </w:tcPr>
          <w:p w14:paraId="28FEC39A" w14:textId="2036FB6D" w:rsidR="0076598B" w:rsidRPr="003107B9" w:rsidRDefault="0076598B" w:rsidP="00FB1E43">
            <w:pP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107B9">
              <w:rPr>
                <w:color w:val="000000"/>
                <w:sz w:val="18"/>
                <w:szCs w:val="18"/>
              </w:rPr>
              <w:t>% од укупног броја субјеката који су предали фин</w:t>
            </w:r>
            <w:r w:rsidRPr="00990839">
              <w:rPr>
                <w:color w:val="000000"/>
                <w:sz w:val="18"/>
                <w:szCs w:val="18"/>
              </w:rPr>
              <w:t>.</w:t>
            </w:r>
            <w:r w:rsidRPr="003107B9">
              <w:rPr>
                <w:color w:val="000000"/>
                <w:sz w:val="18"/>
                <w:szCs w:val="18"/>
              </w:rPr>
              <w:t xml:space="preserve"> извештаје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50A2A444" w14:textId="6FAB3BBD" w:rsidR="0076598B" w:rsidRPr="00531619" w:rsidRDefault="0076598B" w:rsidP="00FB1E43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23,0%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0A849CD3" w14:textId="171FC6E3" w:rsidR="0076598B" w:rsidRPr="00531619" w:rsidRDefault="0076598B" w:rsidP="00FB1E43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23,8%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1C80EF25" w14:textId="391DA471" w:rsidR="0076598B" w:rsidRPr="00531619" w:rsidRDefault="0076598B" w:rsidP="00FB1E43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23,3%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19632387" w14:textId="413A62CF" w:rsidR="0076598B" w:rsidRPr="00531619" w:rsidRDefault="0076598B" w:rsidP="00FB1E43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0B56B7A8" w14:textId="77ED7E48" w:rsidR="0076598B" w:rsidRPr="00531619" w:rsidRDefault="0076598B" w:rsidP="00FB1E43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25,8%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18D051B2" w14:textId="6D127D40" w:rsidR="0076598B" w:rsidRPr="00531619" w:rsidRDefault="0076598B" w:rsidP="00FB1E43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12,7%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0ADACCD8" w14:textId="795BEC12" w:rsidR="0076598B" w:rsidRPr="00531619" w:rsidRDefault="0076598B" w:rsidP="00FB1E43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14,9%</w:t>
            </w:r>
          </w:p>
        </w:tc>
      </w:tr>
      <w:tr w:rsidR="0076598B" w:rsidRPr="00990839" w14:paraId="70D1D87F" w14:textId="77777777" w:rsidTr="00BF5BD8">
        <w:trPr>
          <w:trHeight w:val="57"/>
        </w:trPr>
        <w:tc>
          <w:tcPr>
            <w:tcW w:w="2977" w:type="dxa"/>
            <w:tcBorders>
              <w:top w:val="nil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hideMark/>
          </w:tcPr>
          <w:p w14:paraId="6DD58A93" w14:textId="77777777" w:rsidR="0076598B" w:rsidRPr="003107B9" w:rsidRDefault="0076598B" w:rsidP="0076598B">
            <w:pPr>
              <w:keepNext/>
              <w:spacing w:after="0" w:line="240" w:lineRule="auto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3107B9">
              <w:rPr>
                <w:b/>
                <w:bCs/>
                <w:color w:val="000000"/>
                <w:sz w:val="18"/>
                <w:szCs w:val="18"/>
              </w:rPr>
              <w:lastRenderedPageBreak/>
              <w:t>Укупна средства, у млн РСД</w:t>
            </w:r>
          </w:p>
        </w:tc>
        <w:tc>
          <w:tcPr>
            <w:tcW w:w="1134" w:type="dxa"/>
            <w:tcBorders>
              <w:top w:val="nil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34321C7E" w14:textId="567C5710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18.949,9</w:t>
            </w:r>
          </w:p>
        </w:tc>
        <w:tc>
          <w:tcPr>
            <w:tcW w:w="992" w:type="dxa"/>
            <w:tcBorders>
              <w:top w:val="nil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017BE79E" w14:textId="7B24E9A2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20.564,1</w:t>
            </w:r>
          </w:p>
        </w:tc>
        <w:tc>
          <w:tcPr>
            <w:tcW w:w="993" w:type="dxa"/>
            <w:tcBorders>
              <w:top w:val="nil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097143B6" w14:textId="5223F079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26.328,3</w:t>
            </w:r>
          </w:p>
        </w:tc>
        <w:tc>
          <w:tcPr>
            <w:tcW w:w="283" w:type="dxa"/>
            <w:tcBorders>
              <w:top w:val="nil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593F5025" w14:textId="47CD3F47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6CF2752A" w14:textId="28016129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356,1</w:t>
            </w:r>
          </w:p>
        </w:tc>
        <w:tc>
          <w:tcPr>
            <w:tcW w:w="850" w:type="dxa"/>
            <w:tcBorders>
              <w:top w:val="nil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2C85CCFC" w14:textId="57F9179E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2.047,4</w:t>
            </w:r>
          </w:p>
        </w:tc>
        <w:tc>
          <w:tcPr>
            <w:tcW w:w="851" w:type="dxa"/>
            <w:tcBorders>
              <w:top w:val="nil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2415BBC9" w14:textId="0A0BEB4F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2.057,6</w:t>
            </w:r>
          </w:p>
        </w:tc>
      </w:tr>
      <w:tr w:rsidR="0076598B" w:rsidRPr="00990839" w14:paraId="40116453" w14:textId="77777777" w:rsidTr="00BF5BD8">
        <w:trPr>
          <w:trHeight w:val="57"/>
        </w:trPr>
        <w:tc>
          <w:tcPr>
            <w:tcW w:w="2977" w:type="dxa"/>
            <w:tcBorders>
              <w:top w:val="single" w:sz="4" w:space="0" w:color="2F5496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hideMark/>
          </w:tcPr>
          <w:p w14:paraId="3D6B6F1B" w14:textId="77777777" w:rsidR="0076598B" w:rsidRPr="003107B9" w:rsidRDefault="0076598B" w:rsidP="0076598B">
            <w:pPr>
              <w:keepNext/>
              <w:spacing w:after="0" w:line="240" w:lineRule="auto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3107B9">
              <w:rPr>
                <w:b/>
                <w:bCs/>
                <w:color w:val="000000"/>
                <w:sz w:val="18"/>
                <w:szCs w:val="18"/>
              </w:rPr>
              <w:t>Капитал, у млн РСД</w:t>
            </w:r>
          </w:p>
        </w:tc>
        <w:tc>
          <w:tcPr>
            <w:tcW w:w="1134" w:type="dxa"/>
            <w:tcBorders>
              <w:top w:val="single" w:sz="4" w:space="0" w:color="2F5496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5D923919" w14:textId="064EE030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8.010,3</w:t>
            </w:r>
          </w:p>
        </w:tc>
        <w:tc>
          <w:tcPr>
            <w:tcW w:w="992" w:type="dxa"/>
            <w:tcBorders>
              <w:top w:val="single" w:sz="4" w:space="0" w:color="2F5496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4DA54933" w14:textId="1AFB448B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8.643,1</w:t>
            </w:r>
          </w:p>
        </w:tc>
        <w:tc>
          <w:tcPr>
            <w:tcW w:w="993" w:type="dxa"/>
            <w:tcBorders>
              <w:top w:val="single" w:sz="4" w:space="0" w:color="2F5496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58F6108D" w14:textId="34813754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11.102,9</w:t>
            </w:r>
          </w:p>
        </w:tc>
        <w:tc>
          <w:tcPr>
            <w:tcW w:w="283" w:type="dxa"/>
            <w:tcBorders>
              <w:top w:val="single" w:sz="4" w:space="0" w:color="2F5496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72E5E80E" w14:textId="5C345925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2F5496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7904646F" w14:textId="5F4CD328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59,6</w:t>
            </w:r>
          </w:p>
        </w:tc>
        <w:tc>
          <w:tcPr>
            <w:tcW w:w="850" w:type="dxa"/>
            <w:tcBorders>
              <w:top w:val="single" w:sz="4" w:space="0" w:color="2F5496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388DE033" w14:textId="214D82E5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627,4</w:t>
            </w:r>
          </w:p>
        </w:tc>
        <w:tc>
          <w:tcPr>
            <w:tcW w:w="851" w:type="dxa"/>
            <w:tcBorders>
              <w:top w:val="single" w:sz="4" w:space="0" w:color="2F5496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35DED154" w14:textId="35A34B1B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628,7</w:t>
            </w:r>
          </w:p>
        </w:tc>
      </w:tr>
      <w:tr w:rsidR="00B5450B" w:rsidRPr="00990839" w14:paraId="0CEBBBAA" w14:textId="77777777" w:rsidTr="00BF5BD8">
        <w:trPr>
          <w:trHeight w:val="57"/>
        </w:trPr>
        <w:tc>
          <w:tcPr>
            <w:tcW w:w="8931" w:type="dxa"/>
            <w:gridSpan w:val="8"/>
            <w:tcBorders>
              <w:top w:val="single" w:sz="4" w:space="0" w:color="2F5496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hideMark/>
          </w:tcPr>
          <w:p w14:paraId="390EEECB" w14:textId="5202B2A4" w:rsidR="00B5450B" w:rsidRPr="003107B9" w:rsidRDefault="00B5450B" w:rsidP="00B5450B">
            <w:pPr>
              <w:keepNext/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107B9">
              <w:rPr>
                <w:b/>
                <w:bCs/>
                <w:color w:val="000000"/>
                <w:sz w:val="18"/>
                <w:szCs w:val="18"/>
              </w:rPr>
              <w:t>Субјекти који су остварили губитак изнад висине капитала</w:t>
            </w:r>
            <w:r w:rsidRPr="003107B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6598B" w:rsidRPr="00990839" w14:paraId="3E6AA944" w14:textId="77777777" w:rsidTr="00BF5BD8">
        <w:trPr>
          <w:trHeight w:val="57"/>
        </w:trPr>
        <w:tc>
          <w:tcPr>
            <w:tcW w:w="2977" w:type="dxa"/>
            <w:tcBorders>
              <w:top w:val="single" w:sz="4" w:space="0" w:color="2F5496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hideMark/>
          </w:tcPr>
          <w:p w14:paraId="4A8B1B09" w14:textId="77777777" w:rsidR="0076598B" w:rsidRPr="003107B9" w:rsidRDefault="0076598B" w:rsidP="0076598B">
            <w:pPr>
              <w:keepNext/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107B9">
              <w:rPr>
                <w:color w:val="000000"/>
                <w:sz w:val="18"/>
                <w:szCs w:val="18"/>
              </w:rPr>
              <w:t>Број</w:t>
            </w:r>
          </w:p>
        </w:tc>
        <w:tc>
          <w:tcPr>
            <w:tcW w:w="1134" w:type="dxa"/>
            <w:tcBorders>
              <w:top w:val="single" w:sz="4" w:space="0" w:color="2F5496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5598FD89" w14:textId="7CC45D29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4" w:space="0" w:color="2F5496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694365BB" w14:textId="1436EEA0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4" w:space="0" w:color="2F5496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59A2A587" w14:textId="1A6D2600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83" w:type="dxa"/>
            <w:tcBorders>
              <w:top w:val="single" w:sz="4" w:space="0" w:color="2F5496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4FB509C7" w14:textId="6857987A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2F5496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6F44FA0C" w14:textId="03816F4B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2F5496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443987A2" w14:textId="17974419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single" w:sz="4" w:space="0" w:color="2F5496"/>
              <w:bottom w:val="nil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6E1533A1" w14:textId="211C413C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</w:tr>
      <w:tr w:rsidR="0076598B" w:rsidRPr="00990839" w14:paraId="5272644A" w14:textId="77777777" w:rsidTr="00BF5BD8">
        <w:trPr>
          <w:trHeight w:val="57"/>
        </w:trPr>
        <w:tc>
          <w:tcPr>
            <w:tcW w:w="2977" w:type="dxa"/>
            <w:tcBorders>
              <w:top w:val="nil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hideMark/>
          </w:tcPr>
          <w:p w14:paraId="1CEC6042" w14:textId="715E1980" w:rsidR="0076598B" w:rsidRPr="003107B9" w:rsidRDefault="0076598B" w:rsidP="0076598B">
            <w:pPr>
              <w:keepNext/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107B9">
              <w:rPr>
                <w:color w:val="000000"/>
                <w:sz w:val="18"/>
                <w:szCs w:val="18"/>
              </w:rPr>
              <w:t>% од укупног броја субјеката који су предали фин</w:t>
            </w:r>
            <w:r w:rsidRPr="00990839">
              <w:rPr>
                <w:color w:val="000000"/>
                <w:sz w:val="18"/>
                <w:szCs w:val="18"/>
              </w:rPr>
              <w:t>.</w:t>
            </w:r>
            <w:r w:rsidRPr="003107B9">
              <w:rPr>
                <w:color w:val="000000"/>
                <w:sz w:val="18"/>
                <w:szCs w:val="18"/>
              </w:rPr>
              <w:t xml:space="preserve"> извештаје</w:t>
            </w:r>
          </w:p>
        </w:tc>
        <w:tc>
          <w:tcPr>
            <w:tcW w:w="1134" w:type="dxa"/>
            <w:tcBorders>
              <w:top w:val="nil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3335938D" w14:textId="53FF5F95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25,5%</w:t>
            </w:r>
          </w:p>
        </w:tc>
        <w:tc>
          <w:tcPr>
            <w:tcW w:w="992" w:type="dxa"/>
            <w:tcBorders>
              <w:top w:val="nil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296A5E51" w14:textId="0702A73B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22,8%</w:t>
            </w:r>
          </w:p>
        </w:tc>
        <w:tc>
          <w:tcPr>
            <w:tcW w:w="993" w:type="dxa"/>
            <w:tcBorders>
              <w:top w:val="nil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70B117F3" w14:textId="0BD63C95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21,7%</w:t>
            </w:r>
          </w:p>
        </w:tc>
        <w:tc>
          <w:tcPr>
            <w:tcW w:w="283" w:type="dxa"/>
            <w:tcBorders>
              <w:top w:val="nil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54F0ACE7" w14:textId="34DED1CF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3025FBDA" w14:textId="6323B615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30,9%</w:t>
            </w:r>
          </w:p>
        </w:tc>
        <w:tc>
          <w:tcPr>
            <w:tcW w:w="850" w:type="dxa"/>
            <w:tcBorders>
              <w:top w:val="nil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3C3B9D2F" w14:textId="6C0D3332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11,6%</w:t>
            </w:r>
          </w:p>
        </w:tc>
        <w:tc>
          <w:tcPr>
            <w:tcW w:w="851" w:type="dxa"/>
            <w:tcBorders>
              <w:top w:val="nil"/>
              <w:bottom w:val="single" w:sz="4" w:space="0" w:color="2F5496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5609D662" w14:textId="5171F0C3" w:rsidR="0076598B" w:rsidRPr="00531619" w:rsidRDefault="0076598B" w:rsidP="0076598B">
            <w:pPr>
              <w:keepNext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12,9%</w:t>
            </w:r>
          </w:p>
        </w:tc>
      </w:tr>
    </w:tbl>
    <w:p w14:paraId="7E96C5A3" w14:textId="6A15A752" w:rsidR="00024636" w:rsidRDefault="00024636" w:rsidP="00E71681">
      <w:pPr>
        <w:spacing w:before="120" w:after="200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Извор: подаци Агенције за прив</w:t>
      </w:r>
      <w:r w:rsidR="002F33B3">
        <w:rPr>
          <w:sz w:val="18"/>
          <w:szCs w:val="18"/>
          <w:lang w:eastAsia="en-US"/>
        </w:rPr>
        <w:t>р.</w:t>
      </w:r>
      <w:r>
        <w:rPr>
          <w:sz w:val="18"/>
          <w:szCs w:val="18"/>
          <w:lang w:eastAsia="en-US"/>
        </w:rPr>
        <w:t xml:space="preserve"> регистре (</w:t>
      </w:r>
      <w:r w:rsidR="002F33B3" w:rsidRPr="002F33B3">
        <w:rPr>
          <w:sz w:val="18"/>
          <w:szCs w:val="18"/>
        </w:rPr>
        <w:t xml:space="preserve">Регистар мера и подстицаја привредног развоја - </w:t>
      </w:r>
      <w:hyperlink r:id="rId15" w:history="1">
        <w:r w:rsidR="002F33B3" w:rsidRPr="002F33B3">
          <w:rPr>
            <w:rStyle w:val="Hyperlink"/>
            <w:sz w:val="18"/>
            <w:szCs w:val="18"/>
          </w:rPr>
          <w:t>линк</w:t>
        </w:r>
      </w:hyperlink>
      <w:r>
        <w:rPr>
          <w:sz w:val="18"/>
          <w:szCs w:val="18"/>
          <w:lang w:eastAsia="en-US"/>
        </w:rPr>
        <w:t>) и прорачун</w:t>
      </w:r>
    </w:p>
    <w:p w14:paraId="723DAB2F" w14:textId="07CD0CC7" w:rsidR="002B3DA2" w:rsidRDefault="0094522B" w:rsidP="00667406">
      <w:r>
        <w:rPr>
          <w:b/>
          <w:bCs/>
          <w:color w:val="2F5496"/>
        </w:rPr>
        <w:t xml:space="preserve">Процес приватизације предузећа са територије општине Смедеревске Паланке је </w:t>
      </w:r>
      <w:r w:rsidR="00081070">
        <w:rPr>
          <w:b/>
          <w:bCs/>
          <w:color w:val="2F5496"/>
        </w:rPr>
        <w:t>практично</w:t>
      </w:r>
      <w:r>
        <w:rPr>
          <w:b/>
          <w:bCs/>
          <w:color w:val="2F5496"/>
        </w:rPr>
        <w:t xml:space="preserve"> окончан</w:t>
      </w:r>
      <w:r>
        <w:t>. Наиме, у портфолију некадашње Агенције за приватизацију више нема ниједног предузећа из Смедеревске Паланке</w:t>
      </w:r>
      <w:r w:rsidRPr="0094522B">
        <w:rPr>
          <w:rStyle w:val="FootnoteReference"/>
          <w:lang w:eastAsia="en-US"/>
        </w:rPr>
        <w:footnoteReference w:id="19"/>
      </w:r>
      <w:r>
        <w:t xml:space="preserve">. Међутим, </w:t>
      </w:r>
      <w:r w:rsidR="00F55C67">
        <w:t>нека од приватизованих предузећа су тренутно у процесу промене власништва</w:t>
      </w:r>
      <w:r>
        <w:t>, што отежава пуну реализацију њихових производних и услужних капацитета. Примера ради, некадашње предузеће „Паланачки кисељак“, које је до скоро држала „Атлантик група“, недавно је продато</w:t>
      </w:r>
      <w:r w:rsidR="00781552">
        <w:t>, а садашњи власник хотела „Кисељак“ у Бањи Паланачки Кисељак покушава да прода хотел</w:t>
      </w:r>
      <w:r w:rsidR="00781552">
        <w:rPr>
          <w:rStyle w:val="FootnoteReference"/>
        </w:rPr>
        <w:footnoteReference w:id="20"/>
      </w:r>
      <w:r w:rsidR="00781552">
        <w:t>.</w:t>
      </w:r>
    </w:p>
    <w:p w14:paraId="02E54593" w14:textId="47ECDE60" w:rsidR="00150E9F" w:rsidRPr="00540CE3" w:rsidRDefault="00B959B0" w:rsidP="00FB1E43">
      <w:pPr>
        <w:pStyle w:val="Heading3"/>
        <w:spacing w:before="240"/>
      </w:pPr>
      <w:r>
        <w:t>Инвестици</w:t>
      </w:r>
      <w:r w:rsidR="003A6106">
        <w:t>је</w:t>
      </w:r>
    </w:p>
    <w:p w14:paraId="31A367C0" w14:textId="4B097960" w:rsidR="00CA2D3A" w:rsidRPr="00DB39AA" w:rsidRDefault="00CA2D3A" w:rsidP="00667406">
      <w:pPr>
        <w:rPr>
          <w:b/>
          <w:bCs/>
          <w:color w:val="2F5496"/>
        </w:rPr>
      </w:pPr>
      <w:r>
        <w:rPr>
          <w:b/>
          <w:bCs/>
          <w:color w:val="2F5496"/>
        </w:rPr>
        <w:t xml:space="preserve">Инвестициона </w:t>
      </w:r>
      <w:r w:rsidRPr="000C5F8E">
        <w:rPr>
          <w:b/>
          <w:bCs/>
          <w:color w:val="2F5496"/>
        </w:rPr>
        <w:t>активност</w:t>
      </w:r>
      <w:r>
        <w:rPr>
          <w:b/>
          <w:bCs/>
          <w:color w:val="2F5496"/>
        </w:rPr>
        <w:t xml:space="preserve"> на територији општине Смедеревска Паланка бележи раст од 2018. године</w:t>
      </w:r>
      <w:r w:rsidR="00DB39AA">
        <w:t xml:space="preserve">. </w:t>
      </w:r>
      <w:r>
        <w:t xml:space="preserve">Инвестиције реализоване у 2020. години износиле су 850 милиона динара, </w:t>
      </w:r>
      <w:r w:rsidR="00DB39AA">
        <w:t xml:space="preserve">и значајно су више него у претходних неколико година, као што </w:t>
      </w:r>
      <w:r w:rsidR="00E95EB9">
        <w:t xml:space="preserve">је </w:t>
      </w:r>
      <w:r w:rsidR="00DB39AA">
        <w:t>илустровано на Графикону 2.</w:t>
      </w:r>
    </w:p>
    <w:p w14:paraId="6C999EC7" w14:textId="56098698" w:rsidR="00FB1E43" w:rsidRDefault="00702E2E" w:rsidP="000610AC">
      <w:pPr>
        <w:spacing w:after="0" w:line="240" w:lineRule="auto"/>
        <w:rPr>
          <w:b/>
          <w:bCs/>
          <w:color w:val="2F5496"/>
          <w:sz w:val="4"/>
          <w:szCs w:val="4"/>
        </w:rPr>
      </w:pPr>
      <w:r w:rsidRPr="002B3DA2">
        <w:rPr>
          <w:noProof/>
          <w:highlight w:val="lightGray"/>
          <w:lang w:val="en-US" w:eastAsia="en-US"/>
        </w:rPr>
        <mc:AlternateContent>
          <mc:Choice Requires="wps">
            <w:drawing>
              <wp:anchor distT="36195" distB="36195" distL="114300" distR="114300" simplePos="0" relativeHeight="251714560" behindDoc="0" locked="0" layoutInCell="1" allowOverlap="0" wp14:anchorId="467D537A" wp14:editId="50F85C7D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5878800" cy="2624400"/>
                <wp:effectExtent l="0" t="0" r="8255" b="5715"/>
                <wp:wrapTopAndBottom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800" cy="262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14EF6" w14:textId="77777777" w:rsidR="000B118B" w:rsidRDefault="000B118B" w:rsidP="00702E2E">
                            <w:pPr>
                              <w:pStyle w:val="Caption1"/>
                              <w:spacing w:after="0"/>
                            </w:pPr>
                            <w:r>
                              <w:t>Графикон 2. Инвестиције у нова основна средства у општини Смедеревска Паланка</w:t>
                            </w:r>
                          </w:p>
                          <w:p w14:paraId="231EDF0D" w14:textId="77777777" w:rsidR="000B118B" w:rsidRDefault="000B118B" w:rsidP="00702E2E">
                            <w:pPr>
                              <w:pStyle w:val="Caption1"/>
                              <w:spacing w:after="0"/>
                              <w:rPr>
                                <w:b w:val="0"/>
                                <w:bCs/>
                              </w:rPr>
                            </w:pPr>
                            <w:r w:rsidRPr="00171C6A">
                              <w:rPr>
                                <w:b w:val="0"/>
                                <w:bCs/>
                              </w:rPr>
                              <w:t>у милионима РСД</w:t>
                            </w:r>
                          </w:p>
                          <w:p w14:paraId="725FCB96" w14:textId="77777777" w:rsidR="000B118B" w:rsidRPr="00C1198F" w:rsidRDefault="000B118B" w:rsidP="00702E2E">
                            <w:pPr>
                              <w:pStyle w:val="Caption1"/>
                              <w:spacing w:after="0"/>
                              <w:jc w:val="center"/>
                              <w:rPr>
                                <w:b w:val="0"/>
                                <w:bCs/>
                              </w:rPr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3727E8CF" wp14:editId="111B0E8A">
                                  <wp:extent cx="4419600" cy="1841500"/>
                                  <wp:effectExtent l="0" t="0" r="0" b="6350"/>
                                  <wp:docPr id="7" name="Chart 7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BDDA40FF-6835-409D-8AF8-F7225ED0E959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6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123FD6" w14:textId="77777777" w:rsidR="000B118B" w:rsidRPr="00E35B2D" w:rsidRDefault="000B118B" w:rsidP="00702E2E">
                            <w:pPr>
                              <w:pStyle w:val="Caption1"/>
                              <w:spacing w:after="0"/>
                              <w:rPr>
                                <w:b w:val="0"/>
                                <w:bCs/>
                                <w:color w:val="auto"/>
                                <w:sz w:val="16"/>
                                <w:szCs w:val="18"/>
                              </w:rPr>
                            </w:pPr>
                            <w:r w:rsidRPr="00E35B2D">
                              <w:rPr>
                                <w:b w:val="0"/>
                                <w:bCs/>
                                <w:color w:val="auto"/>
                                <w:sz w:val="16"/>
                                <w:szCs w:val="18"/>
                              </w:rPr>
                              <w:t>Извор</w:t>
                            </w:r>
                            <w:r>
                              <w:rPr>
                                <w:b w:val="0"/>
                                <w:bCs/>
                                <w:color w:val="auto"/>
                                <w:sz w:val="16"/>
                                <w:szCs w:val="18"/>
                              </w:rPr>
                              <w:t xml:space="preserve"> података</w:t>
                            </w:r>
                            <w:r w:rsidRPr="00E35B2D">
                              <w:rPr>
                                <w:b w:val="0"/>
                                <w:bCs/>
                                <w:color w:val="auto"/>
                                <w:sz w:val="16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 w:val="0"/>
                                <w:bCs/>
                                <w:color w:val="auto"/>
                                <w:sz w:val="16"/>
                                <w:szCs w:val="18"/>
                              </w:rPr>
                              <w:t xml:space="preserve"> Општине и региони у Републици Србији – различита издања, Републички завод за статистику</w:t>
                            </w:r>
                          </w:p>
                        </w:txbxContent>
                      </wps:txbx>
                      <wps:bodyPr rot="0" vert="horz" wrap="square" lIns="72000" tIns="72000" rIns="72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D537A" id="_x0000_s1027" type="#_x0000_t202" style="position:absolute;left:0;text-align:left;margin-left:0;margin-top:5.3pt;width:462.9pt;height:206.65pt;z-index:251714560;visibility:visible;mso-wrap-style:square;mso-width-percent:0;mso-height-percent:0;mso-wrap-distance-left:9pt;mso-wrap-distance-top:2.85pt;mso-wrap-distance-right:9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0AmDAIAAP4DAAAOAAAAZHJzL2Uyb0RvYy54bWysU9tu2zAMfR+wfxD0vjjJmjQz4hRdugwD&#10;ugvQ7gNkWY6FyaJGKbGzrx8lu2nWvQ3TgyCK1CF5eLS+6VvDjgq9Blvw2WTKmbISKm33Bf/+uHuz&#10;4swHYSthwKqCn5TnN5vXr9ady9UcGjCVQkYg1uedK3gTgsuzzMtGtcJPwClLzhqwFYFM3GcVio7Q&#10;W5PNp9Nl1gFWDkEq7+n2bnDyTcKvayXD17r2KjBTcKotpB3TXsY926xFvkfhGi3HMsQ/VNEKbSnp&#10;GepOBMEOqP+CarVE8FCHiYQ2g7rWUqUeqJvZ9EU3D41wKvVC5Hh3psn/P1j55fjgviEL/XvoaYCp&#10;Ce/uQf7wzMK2EXavbhGha5SoKPEsUpZ1zufj00i1z30EKbvPUNGQxSFAAuprbCMr1CcjdBrA6Uy6&#10;6gOTdLlYXa9WU3JJ8s2X86srMmIOkT89d+jDRwUti4eCI001wYvjvQ9D6FNIzObB6GqnjUkG7sut&#10;QXYUpIBdWiP6H2HGsq7g7xbzRUK2EN8ncbQ6kEKNbgtOZdIaNBPp+GCrFBKENsOZijZ25CdSMpAT&#10;+rJnuhrJi3SVUJ2IMIRBkPSB6NAA/uKsIzEW3P88CFScmU+WSL8mqUf1Xhp4aZTJeLtMYcJKgip4&#10;4Gw4bkNSfKLD3dJwdjrR9lzJWDKJLBE/foio4ks7RT1/281vAAAA//8DAFBLAwQUAAYACAAAACEA&#10;heCjJt0AAAAHAQAADwAAAGRycy9kb3ducmV2LnhtbEyPwU7DMBBE70j9B2uRuFGHQKsmjVMVJA6c&#10;KkIlxM2Nt0nUeB3Fbur+PdsTHGdnNfOm2ETbiwlH3zlS8DRPQCDVznTUKNh/vT+uQPigyejeESq4&#10;oodNObsrdG7chT5xqkIjOIR8rhW0IQy5lL5u0Wo/dwMSe0c3Wh1Yjo00o75wuO1lmiRLaXVH3NDq&#10;Ad9arE/V2Sr4jqnvrlX82L9O2cq5n+PC006ph/u4XYMIGMPfM9zwGR1KZjq4MxkvegU8JPA1WYJg&#10;N0sXPOSg4CV9zkCWhfzPX/4CAAD//wMAUEsBAi0AFAAGAAgAAAAhALaDOJL+AAAA4QEAABMAAAAA&#10;AAAAAAAAAAAAAAAAAFtDb250ZW50X1R5cGVzXS54bWxQSwECLQAUAAYACAAAACEAOP0h/9YAAACU&#10;AQAACwAAAAAAAAAAAAAAAAAvAQAAX3JlbHMvLnJlbHNQSwECLQAUAAYACAAAACEAd9dAJgwCAAD+&#10;AwAADgAAAAAAAAAAAAAAAAAuAgAAZHJzL2Uyb0RvYy54bWxQSwECLQAUAAYACAAAACEAheCjJt0A&#10;AAAHAQAADwAAAAAAAAAAAAAAAABmBAAAZHJzL2Rvd25yZXYueG1sUEsFBgAAAAAEAAQA8wAAAHAF&#10;AAAAAA==&#10;" o:allowoverlap="f" stroked="f">
                <v:textbox style="mso-fit-shape-to-text:t" inset="2mm,2mm,2mm,1mm">
                  <w:txbxContent>
                    <w:p w14:paraId="0F614EF6" w14:textId="77777777" w:rsidR="000B118B" w:rsidRDefault="000B118B" w:rsidP="00702E2E">
                      <w:pPr>
                        <w:pStyle w:val="Caption1"/>
                        <w:spacing w:after="0"/>
                      </w:pPr>
                      <w:r>
                        <w:t>Графикон 2. Инвестиције у нова основна средства у општини Смедеревска Паланка</w:t>
                      </w:r>
                    </w:p>
                    <w:p w14:paraId="231EDF0D" w14:textId="77777777" w:rsidR="000B118B" w:rsidRDefault="000B118B" w:rsidP="00702E2E">
                      <w:pPr>
                        <w:pStyle w:val="Caption1"/>
                        <w:spacing w:after="0"/>
                        <w:rPr>
                          <w:b w:val="0"/>
                          <w:bCs/>
                        </w:rPr>
                      </w:pPr>
                      <w:r w:rsidRPr="00171C6A">
                        <w:rPr>
                          <w:b w:val="0"/>
                          <w:bCs/>
                        </w:rPr>
                        <w:t>у милионима РСД</w:t>
                      </w:r>
                    </w:p>
                    <w:p w14:paraId="725FCB96" w14:textId="77777777" w:rsidR="000B118B" w:rsidRPr="00C1198F" w:rsidRDefault="000B118B" w:rsidP="00702E2E">
                      <w:pPr>
                        <w:pStyle w:val="Caption1"/>
                        <w:spacing w:after="0"/>
                        <w:jc w:val="center"/>
                        <w:rPr>
                          <w:b w:val="0"/>
                          <w:bCs/>
                        </w:rPr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3727E8CF" wp14:editId="111B0E8A">
                            <wp:extent cx="4419600" cy="1841500"/>
                            <wp:effectExtent l="0" t="0" r="0" b="6350"/>
                            <wp:docPr id="7" name="Chart 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DDA40FF-6835-409D-8AF8-F7225ED0E959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6"/>
                              </a:graphicData>
                            </a:graphic>
                          </wp:inline>
                        </w:drawing>
                      </w:r>
                    </w:p>
                    <w:p w14:paraId="60123FD6" w14:textId="77777777" w:rsidR="000B118B" w:rsidRPr="00E35B2D" w:rsidRDefault="000B118B" w:rsidP="00702E2E">
                      <w:pPr>
                        <w:pStyle w:val="Caption1"/>
                        <w:spacing w:after="0"/>
                        <w:rPr>
                          <w:b w:val="0"/>
                          <w:bCs/>
                          <w:color w:val="auto"/>
                          <w:sz w:val="16"/>
                          <w:szCs w:val="18"/>
                        </w:rPr>
                      </w:pPr>
                      <w:r w:rsidRPr="00E35B2D">
                        <w:rPr>
                          <w:b w:val="0"/>
                          <w:bCs/>
                          <w:color w:val="auto"/>
                          <w:sz w:val="16"/>
                          <w:szCs w:val="18"/>
                        </w:rPr>
                        <w:t>Извор</w:t>
                      </w:r>
                      <w:r>
                        <w:rPr>
                          <w:b w:val="0"/>
                          <w:bCs/>
                          <w:color w:val="auto"/>
                          <w:sz w:val="16"/>
                          <w:szCs w:val="18"/>
                        </w:rPr>
                        <w:t xml:space="preserve"> података</w:t>
                      </w:r>
                      <w:r w:rsidRPr="00E35B2D">
                        <w:rPr>
                          <w:b w:val="0"/>
                          <w:bCs/>
                          <w:color w:val="auto"/>
                          <w:sz w:val="16"/>
                          <w:szCs w:val="18"/>
                        </w:rPr>
                        <w:t>:</w:t>
                      </w:r>
                      <w:r>
                        <w:rPr>
                          <w:b w:val="0"/>
                          <w:bCs/>
                          <w:color w:val="auto"/>
                          <w:sz w:val="16"/>
                          <w:szCs w:val="18"/>
                        </w:rPr>
                        <w:t xml:space="preserve"> Општине и региони у Републици Србији – различита издања, Републички завод за статистику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4B46688" w14:textId="1DFF778A" w:rsidR="002B3DA2" w:rsidRPr="00DB39AA" w:rsidRDefault="00DB39AA" w:rsidP="000610AC">
      <w:pPr>
        <w:spacing w:after="0" w:line="240" w:lineRule="auto"/>
        <w:rPr>
          <w:b/>
          <w:bCs/>
          <w:color w:val="2F5496"/>
          <w:sz w:val="4"/>
          <w:szCs w:val="4"/>
        </w:rPr>
      </w:pPr>
      <w:r w:rsidRPr="00DB39AA">
        <w:rPr>
          <w:b/>
          <w:bCs/>
          <w:color w:val="2F5496"/>
          <w:sz w:val="4"/>
          <w:szCs w:val="4"/>
        </w:rPr>
        <w:t xml:space="preserve"> </w:t>
      </w:r>
    </w:p>
    <w:p w14:paraId="5B14CDC4" w14:textId="4421068C" w:rsidR="00A75B14" w:rsidRDefault="000C5F8E" w:rsidP="00667406">
      <w:r>
        <w:t xml:space="preserve">Посматрано </w:t>
      </w:r>
      <w:r w:rsidRPr="00F46CBE">
        <w:rPr>
          <w:b/>
          <w:bCs/>
          <w:color w:val="2F5496"/>
        </w:rPr>
        <w:t>према карактеру изградње</w:t>
      </w:r>
      <w:r>
        <w:t>,</w:t>
      </w:r>
      <w:r w:rsidR="00A75B14">
        <w:t xml:space="preserve"> у периоду 2017-2020.</w:t>
      </w:r>
      <w:r>
        <w:t xml:space="preserve"> </w:t>
      </w:r>
      <w:r w:rsidRPr="000C5F8E">
        <w:rPr>
          <w:b/>
          <w:bCs/>
          <w:color w:val="2F5496"/>
        </w:rPr>
        <w:t xml:space="preserve">инвестиције су готово у </w:t>
      </w:r>
      <w:r w:rsidR="00A75B14">
        <w:rPr>
          <w:b/>
          <w:bCs/>
          <w:color w:val="2F5496"/>
        </w:rPr>
        <w:t>потпуности</w:t>
      </w:r>
      <w:r w:rsidRPr="000C5F8E">
        <w:rPr>
          <w:b/>
          <w:bCs/>
          <w:color w:val="2F5496"/>
        </w:rPr>
        <w:t xml:space="preserve"> намењене за реконструкцију, модернизацију, доградњу или проширење постојећих капацитета</w:t>
      </w:r>
      <w:r>
        <w:t xml:space="preserve">; инвестиције у нове капацитете </w:t>
      </w:r>
      <w:r w:rsidR="00E95EB9">
        <w:t>су готово занемарљиве.</w:t>
      </w:r>
      <w:r w:rsidR="00A75B14">
        <w:t xml:space="preserve"> Као што се може уочити на Графикону 3, структура инвестиција према карактеру изградње значајно одступа од нивоа Републике, где у посматраном периоду већи значај имају улагања у нове капацитете. Подунавску област, слично као и Смедеревску Паланку, карактерише висок удео инвестиција у реконструкцију и </w:t>
      </w:r>
      <w:r w:rsidR="00A75B14">
        <w:lastRenderedPageBreak/>
        <w:t>проширење капацитета, али и већи удео инвестиција у одржавање постојећих капацитета.</w:t>
      </w:r>
    </w:p>
    <w:p w14:paraId="4B2C326D" w14:textId="568B9349" w:rsidR="00452A57" w:rsidRPr="008872AD" w:rsidRDefault="00BF57E6" w:rsidP="00667406">
      <w:r w:rsidRPr="00F46CBE">
        <w:rPr>
          <w:b/>
          <w:bCs/>
          <w:color w:val="2F5496"/>
        </w:rPr>
        <w:t>Према техничкој структури</w:t>
      </w:r>
      <w:r>
        <w:t xml:space="preserve">, у </w:t>
      </w:r>
      <w:r w:rsidR="000F7F36">
        <w:t xml:space="preserve">периоду 2017-2020. године </w:t>
      </w:r>
      <w:r w:rsidR="000F7F36">
        <w:rPr>
          <w:b/>
          <w:bCs/>
          <w:color w:val="2F5496"/>
        </w:rPr>
        <w:t xml:space="preserve">више од 70% </w:t>
      </w:r>
      <w:r w:rsidRPr="00F46CBE">
        <w:rPr>
          <w:b/>
          <w:bCs/>
          <w:color w:val="2F5496"/>
        </w:rPr>
        <w:t>инвестициј</w:t>
      </w:r>
      <w:r w:rsidR="000F7F36">
        <w:rPr>
          <w:b/>
          <w:bCs/>
          <w:color w:val="2F5496"/>
        </w:rPr>
        <w:t>а</w:t>
      </w:r>
      <w:r w:rsidRPr="00F46CBE">
        <w:rPr>
          <w:b/>
          <w:bCs/>
          <w:color w:val="2F5496"/>
        </w:rPr>
        <w:t xml:space="preserve"> </w:t>
      </w:r>
      <w:r w:rsidR="000F7F36">
        <w:rPr>
          <w:b/>
          <w:bCs/>
          <w:color w:val="2F5496"/>
        </w:rPr>
        <w:t>чинила су улагања у набавку и монтажу опреме</w:t>
      </w:r>
      <w:r w:rsidR="000F7F36">
        <w:t>,</w:t>
      </w:r>
      <w:r w:rsidR="00F46CBE">
        <w:t xml:space="preserve"> </w:t>
      </w:r>
      <w:r w:rsidR="000F7F36">
        <w:t xml:space="preserve">док </w:t>
      </w:r>
      <w:r w:rsidR="003D1E27">
        <w:t xml:space="preserve">се око ¼ односило на </w:t>
      </w:r>
      <w:r w:rsidR="000F7F36">
        <w:t>грађевинск</w:t>
      </w:r>
      <w:r w:rsidR="003D1E27">
        <w:t>е</w:t>
      </w:r>
      <w:r w:rsidR="000F7F36">
        <w:t xml:space="preserve"> радов</w:t>
      </w:r>
      <w:r w:rsidR="003D1E27">
        <w:t>е</w:t>
      </w:r>
      <w:r w:rsidR="000F7F36">
        <w:t xml:space="preserve">. </w:t>
      </w:r>
      <w:r w:rsidR="003D1E27">
        <w:t>Према техничкој структури инвестиција Смедеревска Паланка не одступа од Подунавског региона, али се у односу на просек Републике уочава значајно мања заступљеност грађевинских радова.</w:t>
      </w:r>
    </w:p>
    <w:p w14:paraId="5A040163" w14:textId="1DE656A9" w:rsidR="001E2879" w:rsidRPr="003F013C" w:rsidRDefault="003D1E27" w:rsidP="003F013C">
      <w:pPr>
        <w:spacing w:after="0" w:line="240" w:lineRule="auto"/>
        <w:rPr>
          <w:sz w:val="4"/>
          <w:szCs w:val="4"/>
          <w:lang w:eastAsia="en-US"/>
        </w:rPr>
      </w:pPr>
      <w:r w:rsidRPr="002B3DA2">
        <w:rPr>
          <w:noProof/>
          <w:highlight w:val="lightGray"/>
          <w:lang w:val="en-US" w:eastAsia="en-US"/>
        </w:rPr>
        <mc:AlternateContent>
          <mc:Choice Requires="wps">
            <w:drawing>
              <wp:anchor distT="36195" distB="36195" distL="114300" distR="114300" simplePos="0" relativeHeight="251702272" behindDoc="0" locked="0" layoutInCell="1" allowOverlap="0" wp14:anchorId="20346FEF" wp14:editId="392A3293">
                <wp:simplePos x="0" y="0"/>
                <wp:positionH relativeFrom="column">
                  <wp:posOffset>63500</wp:posOffset>
                </wp:positionH>
                <wp:positionV relativeFrom="paragraph">
                  <wp:posOffset>53340</wp:posOffset>
                </wp:positionV>
                <wp:extent cx="5911850" cy="3403600"/>
                <wp:effectExtent l="0" t="0" r="0" b="0"/>
                <wp:wrapTopAndBottom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340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47C06" w14:textId="2DAEECAF" w:rsidR="000B118B" w:rsidRDefault="000B118B" w:rsidP="003F013C">
                            <w:pPr>
                              <w:pStyle w:val="Caption1"/>
                              <w:spacing w:after="0"/>
                            </w:pPr>
                            <w:r w:rsidRPr="00583B0D">
                              <w:t xml:space="preserve">Графикон 3. </w:t>
                            </w:r>
                            <w:r>
                              <w:t xml:space="preserve">Укупне инвестиције за период </w:t>
                            </w:r>
                            <w:r w:rsidRPr="00583B0D">
                              <w:t>201</w:t>
                            </w:r>
                            <w:r>
                              <w:t>7</w:t>
                            </w:r>
                            <w:r w:rsidRPr="00583B0D">
                              <w:t>-2020</w:t>
                            </w:r>
                            <w:r>
                              <w:t xml:space="preserve">: структура </w:t>
                            </w:r>
                            <w:r w:rsidRPr="00FA6BBB">
                              <w:t>према</w:t>
                            </w:r>
                            <w:r>
                              <w:t xml:space="preserve"> карактеру изградње и према техничкој структури</w:t>
                            </w:r>
                          </w:p>
                          <w:p w14:paraId="14959AE8" w14:textId="525DEDA3" w:rsidR="000B118B" w:rsidRDefault="000B118B" w:rsidP="003F013C">
                            <w:pPr>
                              <w:pStyle w:val="Caption1"/>
                              <w:spacing w:after="0"/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7FFE9C0C" wp14:editId="01E933C1">
                                  <wp:extent cx="2895600" cy="2695575"/>
                                  <wp:effectExtent l="0" t="0" r="0" b="0"/>
                                  <wp:docPr id="18" name="Chart 18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18727EC-521B-4A8C-A2B2-90EC71FAE9EB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7"/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787257CF" wp14:editId="22E398DA">
                                  <wp:extent cx="2771775" cy="2705100"/>
                                  <wp:effectExtent l="0" t="0" r="0" b="0"/>
                                  <wp:docPr id="21" name="Chart 2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918C54D-10F7-4F31-ABF3-D5639F4F8DA9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94512E" w14:textId="184D02E5" w:rsidR="000B118B" w:rsidRPr="009345EF" w:rsidRDefault="000B118B" w:rsidP="003F013C">
                            <w:pPr>
                              <w:pStyle w:val="Caption1"/>
                              <w:spacing w:after="0"/>
                              <w:rPr>
                                <w:b w:val="0"/>
                                <w:bCs/>
                                <w:color w:val="aut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auto"/>
                                <w:sz w:val="16"/>
                                <w:szCs w:val="18"/>
                              </w:rPr>
                              <w:t>И</w:t>
                            </w:r>
                            <w:r w:rsidRPr="00E35B2D">
                              <w:rPr>
                                <w:b w:val="0"/>
                                <w:bCs/>
                                <w:color w:val="auto"/>
                                <w:sz w:val="16"/>
                                <w:szCs w:val="18"/>
                              </w:rPr>
                              <w:t>звор:</w:t>
                            </w:r>
                            <w:r>
                              <w:rPr>
                                <w:b w:val="0"/>
                                <w:bCs/>
                                <w:color w:val="auto"/>
                                <w:sz w:val="16"/>
                                <w:szCs w:val="18"/>
                              </w:rPr>
                              <w:t xml:space="preserve"> Прорачун на основу података Републичког завода за статистику (Општине и региони у Реп. Србији)</w:t>
                            </w:r>
                          </w:p>
                        </w:txbxContent>
                      </wps:txbx>
                      <wps:bodyPr rot="0" vert="horz" wrap="square" lIns="72000" tIns="72000" rIns="72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46FEF" id="_x0000_s1028" type="#_x0000_t202" style="position:absolute;left:0;text-align:left;margin-left:5pt;margin-top:4.2pt;width:465.5pt;height:268pt;z-index:251702272;visibility:visible;mso-wrap-style:square;mso-width-percent:0;mso-height-percent:0;mso-wrap-distance-left:9pt;mso-wrap-distance-top:2.85pt;mso-wrap-distance-right:9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8XkDgIAAP4DAAAOAAAAZHJzL2Uyb0RvYy54bWysU9tu2zAMfR+wfxD0vthJly41ohRdugwD&#10;ugvQ7QNkWY6FyaJGKbG7rx+lXBp0b8P0IIgieUQeHi1vx96yvcZgwAk+nZScaaegMW4r+I/vmzcL&#10;zkKUrpEWnBb8SQd+u3r9ajn4Ss+gA9toZATiQjV4wbsYfVUUQXW6l2ECXjtytoC9jGTitmhQDoTe&#10;22JWltfFANh4BKVDoNv7g5OvMn7bahW/tm3QkVnBqbaYd8x7nfZitZTVFqXvjDqWIf+hil4aR4+e&#10;oe5llGyH5i+o3iiEAG2cKOgLaFujdO6BupmWL7p57KTXuRciJ/gzTeH/waov+0f/DVkc38NIA8xN&#10;BP8A6mdgDtaddFt9hwhDp2VDD08TZcXgQ3VMTVSHKiSQevgMDQ1Z7iJkoLHFPrFCfTJCpwE8nUnX&#10;Y2SKLuc30+liTi5Fvqu35dV1mcdSyOqU7jHEjxp6lg6CI001w8v9Q4ipHFmdQtJrAaxpNsbabOC2&#10;Xltke0kK2OSVO3gRZh0bBL+Zz+YZ2UHKz+LoTSSFWtMLvijTOmgm0fHBNTkkSmMPZ6rEuiM/iZID&#10;OXGsR2YawWcpN9FVQ/NEhCEcBEkfiA4d4G/OBhKj4OHXTqLmzH5yRPo7knpS76WBl0adjUQdhUmn&#10;CErweDquY1Z8psPf0XA2JtP2XMmxZBJZZvP4IZKKL+0c9fxtV38AAAD//wMAUEsDBBQABgAIAAAA&#10;IQDyQdHE3AAAAAgBAAAPAAAAZHJzL2Rvd25yZXYueG1sTI/BTsMwEETvSPyDtZW4UaeVi9IQpwIk&#10;DpwQoRLi5sbbJGq8jmI3df+e5QTHp1nNvil3yQ1ixin0njSslhkIpMbbnloN+8/X+xxEiIasGTyh&#10;hisG2FW3N6UprL/QB851bAWXUCiMhi7GsZAyNB06E5Z+ROLs6CdnIuPUSjuZC5e7Qa6z7EE60xN/&#10;6MyILx02p/rsNHyldeivdXrbP8/b3Pvv4ybQu9Z3i/T0CCJiin/H8KvP6lCx08GfyQYxMGc8JWrI&#10;FQiOt2rFfNCwUUqBrEr5f0D1AwAA//8DAFBLAQItABQABgAIAAAAIQC2gziS/gAAAOEBAAATAAAA&#10;AAAAAAAAAAAAAAAAAABbQ29udGVudF9UeXBlc10ueG1sUEsBAi0AFAAGAAgAAAAhADj9If/WAAAA&#10;lAEAAAsAAAAAAAAAAAAAAAAALwEAAF9yZWxzLy5yZWxzUEsBAi0AFAAGAAgAAAAhADAjxeQOAgAA&#10;/gMAAA4AAAAAAAAAAAAAAAAALgIAAGRycy9lMm9Eb2MueG1sUEsBAi0AFAAGAAgAAAAhAPJB0cTc&#10;AAAACAEAAA8AAAAAAAAAAAAAAAAAaAQAAGRycy9kb3ducmV2LnhtbFBLBQYAAAAABAAEAPMAAABx&#10;BQAAAAA=&#10;" o:allowoverlap="f" stroked="f">
                <v:textbox style="mso-fit-shape-to-text:t" inset="2mm,2mm,2mm,1mm">
                  <w:txbxContent>
                    <w:p w14:paraId="1D947C06" w14:textId="2DAEECAF" w:rsidR="000B118B" w:rsidRDefault="000B118B" w:rsidP="003F013C">
                      <w:pPr>
                        <w:pStyle w:val="Caption1"/>
                        <w:spacing w:after="0"/>
                      </w:pPr>
                      <w:r w:rsidRPr="00583B0D">
                        <w:t xml:space="preserve">Графикон 3. </w:t>
                      </w:r>
                      <w:r>
                        <w:t xml:space="preserve">Укупне инвестиције за период </w:t>
                      </w:r>
                      <w:r w:rsidRPr="00583B0D">
                        <w:t>201</w:t>
                      </w:r>
                      <w:r>
                        <w:t>7</w:t>
                      </w:r>
                      <w:r w:rsidRPr="00583B0D">
                        <w:t>-2020</w:t>
                      </w:r>
                      <w:r>
                        <w:t xml:space="preserve">: структура </w:t>
                      </w:r>
                      <w:r w:rsidRPr="00FA6BBB">
                        <w:t>према</w:t>
                      </w:r>
                      <w:r>
                        <w:t xml:space="preserve"> карактеру изградње и према техничкој структури</w:t>
                      </w:r>
                    </w:p>
                    <w:p w14:paraId="14959AE8" w14:textId="525DEDA3" w:rsidR="000B118B" w:rsidRDefault="000B118B" w:rsidP="003F013C">
                      <w:pPr>
                        <w:pStyle w:val="Caption1"/>
                        <w:spacing w:after="0"/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7FFE9C0C" wp14:editId="01E933C1">
                            <wp:extent cx="2895600" cy="2695575"/>
                            <wp:effectExtent l="0" t="0" r="0" b="0"/>
                            <wp:docPr id="18" name="Chart 18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18727EC-521B-4A8C-A2B2-90EC71FAE9EB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7"/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787257CF" wp14:editId="22E398DA">
                            <wp:extent cx="2771775" cy="2705100"/>
                            <wp:effectExtent l="0" t="0" r="0" b="0"/>
                            <wp:docPr id="21" name="Chart 2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918C54D-10F7-4F31-ABF3-D5639F4F8DA9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8"/>
                              </a:graphicData>
                            </a:graphic>
                          </wp:inline>
                        </w:drawing>
                      </w:r>
                    </w:p>
                    <w:p w14:paraId="5394512E" w14:textId="184D02E5" w:rsidR="000B118B" w:rsidRPr="009345EF" w:rsidRDefault="000B118B" w:rsidP="003F013C">
                      <w:pPr>
                        <w:pStyle w:val="Caption1"/>
                        <w:spacing w:after="0"/>
                        <w:rPr>
                          <w:b w:val="0"/>
                          <w:bCs/>
                          <w:color w:val="auto"/>
                          <w:sz w:val="16"/>
                          <w:szCs w:val="18"/>
                        </w:rPr>
                      </w:pPr>
                      <w:r>
                        <w:rPr>
                          <w:b w:val="0"/>
                          <w:bCs/>
                          <w:color w:val="auto"/>
                          <w:sz w:val="16"/>
                          <w:szCs w:val="18"/>
                        </w:rPr>
                        <w:t>И</w:t>
                      </w:r>
                      <w:r w:rsidRPr="00E35B2D">
                        <w:rPr>
                          <w:b w:val="0"/>
                          <w:bCs/>
                          <w:color w:val="auto"/>
                          <w:sz w:val="16"/>
                          <w:szCs w:val="18"/>
                        </w:rPr>
                        <w:t>звор:</w:t>
                      </w:r>
                      <w:r>
                        <w:rPr>
                          <w:b w:val="0"/>
                          <w:bCs/>
                          <w:color w:val="auto"/>
                          <w:sz w:val="16"/>
                          <w:szCs w:val="18"/>
                        </w:rPr>
                        <w:t xml:space="preserve"> Прорачун на основу података Републичког завода за статистику (Општине и региони у Реп. Србији)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F013C">
        <w:rPr>
          <w:lang w:eastAsia="en-US"/>
        </w:rPr>
        <w:t xml:space="preserve"> </w:t>
      </w:r>
    </w:p>
    <w:p w14:paraId="7846BDC3" w14:textId="1F684DE6" w:rsidR="007E542E" w:rsidRDefault="009808AF" w:rsidP="00667406">
      <w:pPr>
        <w:rPr>
          <w:lang w:eastAsia="en-US"/>
        </w:rPr>
      </w:pPr>
      <w:r>
        <w:rPr>
          <w:lang w:eastAsia="en-US"/>
        </w:rPr>
        <w:t xml:space="preserve">Посматрано према делатностима, инвестиције у Смедеревској Паланци су </w:t>
      </w:r>
      <w:r w:rsidRPr="009808AF">
        <w:rPr>
          <w:b/>
          <w:bCs/>
          <w:color w:val="2F5496"/>
          <w:lang w:eastAsia="en-US"/>
        </w:rPr>
        <w:t>доминантно реализоване у сектору прерађивачке индустрије</w:t>
      </w:r>
      <w:r>
        <w:rPr>
          <w:lang w:eastAsia="en-US"/>
        </w:rPr>
        <w:t xml:space="preserve">. Као што је приказано на Графикону 4, инвестиције у капацитете прерађивачке индустрије чине </w:t>
      </w:r>
      <w:r w:rsidR="007E542E">
        <w:rPr>
          <w:lang w:eastAsia="en-US"/>
        </w:rPr>
        <w:t>више од</w:t>
      </w:r>
      <w:r>
        <w:rPr>
          <w:lang w:eastAsia="en-US"/>
        </w:rPr>
        <w:t xml:space="preserve"> половине укупних инвестиција реализованих на територији Смедеревске Паланке</w:t>
      </w:r>
      <w:r w:rsidR="00727742">
        <w:rPr>
          <w:lang w:eastAsia="en-US"/>
        </w:rPr>
        <w:t xml:space="preserve"> у периоду 2017-2020. По значају се издваја и грађевинска делатност, </w:t>
      </w:r>
      <w:r w:rsidR="007E542E">
        <w:rPr>
          <w:lang w:eastAsia="en-US"/>
        </w:rPr>
        <w:t xml:space="preserve">са учешћем од </w:t>
      </w:r>
      <w:r w:rsidR="00727742">
        <w:rPr>
          <w:lang w:eastAsia="en-US"/>
        </w:rPr>
        <w:t xml:space="preserve">око 20%, </w:t>
      </w:r>
      <w:r w:rsidR="007E542E">
        <w:rPr>
          <w:lang w:eastAsia="en-US"/>
        </w:rPr>
        <w:t>што значи да је у посматраном периоду ¾ укупних инвестиција било усмерено на прерађивачку индустрију и грађевинарство. Удео осталих делатности је био много нижи.</w:t>
      </w:r>
    </w:p>
    <w:p w14:paraId="63794EAD" w14:textId="39BCEACA" w:rsidR="002B3DA2" w:rsidRDefault="002B3DA2" w:rsidP="00667406">
      <w:pPr>
        <w:rPr>
          <w:b/>
          <w:bCs/>
          <w:color w:val="2F5496"/>
          <w:lang w:eastAsia="en-US"/>
        </w:rPr>
      </w:pPr>
    </w:p>
    <w:p w14:paraId="012F0C5E" w14:textId="2253CF87" w:rsidR="00CC20C9" w:rsidRPr="00E92457" w:rsidRDefault="00CC20C9" w:rsidP="00E92457">
      <w:pPr>
        <w:spacing w:after="0" w:line="240" w:lineRule="auto"/>
        <w:rPr>
          <w:sz w:val="4"/>
          <w:szCs w:val="4"/>
          <w:lang w:eastAsia="en-US"/>
        </w:rPr>
      </w:pPr>
      <w:r w:rsidRPr="00E92457">
        <w:rPr>
          <w:noProof/>
          <w:sz w:val="4"/>
          <w:szCs w:val="4"/>
          <w:lang w:val="en-US" w:eastAsia="en-US"/>
        </w:rPr>
        <w:lastRenderedPageBreak/>
        <mc:AlternateContent>
          <mc:Choice Requires="wps">
            <w:drawing>
              <wp:anchor distT="107950" distB="107950" distL="114300" distR="114300" simplePos="0" relativeHeight="251694080" behindDoc="0" locked="0" layoutInCell="1" allowOverlap="0" wp14:anchorId="1DA6D70A" wp14:editId="59189E72">
                <wp:simplePos x="0" y="0"/>
                <wp:positionH relativeFrom="column">
                  <wp:posOffset>759460</wp:posOffset>
                </wp:positionH>
                <wp:positionV relativeFrom="paragraph">
                  <wp:posOffset>0</wp:posOffset>
                </wp:positionV>
                <wp:extent cx="4424400" cy="3290400"/>
                <wp:effectExtent l="0" t="0" r="0" b="3810"/>
                <wp:wrapTopAndBottom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4400" cy="329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A2BFF" w14:textId="6D2D9D70" w:rsidR="000B118B" w:rsidRDefault="000B118B" w:rsidP="00E92457">
                            <w:pPr>
                              <w:pStyle w:val="Caption1"/>
                              <w:spacing w:after="0"/>
                            </w:pPr>
                            <w:r>
                              <w:t>Графикон 4. Укупне инвестиције за период 2017-2020: структура према делатностима</w:t>
                            </w:r>
                          </w:p>
                          <w:p w14:paraId="0C7691CF" w14:textId="4220B3E7" w:rsidR="000B118B" w:rsidRDefault="000B118B" w:rsidP="00E92457">
                            <w:pPr>
                              <w:pStyle w:val="Caption1"/>
                              <w:spacing w:after="0"/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0B1C8911" wp14:editId="05F64FEE">
                                  <wp:extent cx="4347845" cy="2562225"/>
                                  <wp:effectExtent l="0" t="0" r="0" b="0"/>
                                  <wp:docPr id="15" name="Chart 1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BADB36D6-1786-4D1A-B20A-FB27E595274C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6C69D7" w14:textId="2A250C50" w:rsidR="000B118B" w:rsidRPr="00EB0394" w:rsidRDefault="000B118B" w:rsidP="00E92457">
                            <w:pPr>
                              <w:pStyle w:val="Caption1"/>
                              <w:spacing w:after="0"/>
                              <w:rPr>
                                <w:b w:val="0"/>
                                <w:bCs/>
                                <w:color w:val="auto"/>
                                <w:sz w:val="4"/>
                                <w:szCs w:val="4"/>
                              </w:rPr>
                            </w:pPr>
                            <w:r w:rsidRPr="00EB0394">
                              <w:rPr>
                                <w:b w:val="0"/>
                                <w:bCs/>
                                <w:color w:val="auto"/>
                                <w:sz w:val="4"/>
                                <w:szCs w:val="4"/>
                              </w:rPr>
                              <w:t xml:space="preserve"> </w:t>
                            </w:r>
                          </w:p>
                          <w:p w14:paraId="3BC46BB4" w14:textId="3467E296" w:rsidR="000B118B" w:rsidRPr="00E35B2D" w:rsidRDefault="000B118B" w:rsidP="00E92457">
                            <w:pPr>
                              <w:pStyle w:val="Caption1"/>
                              <w:spacing w:after="0"/>
                              <w:rPr>
                                <w:b w:val="0"/>
                                <w:bCs/>
                                <w:color w:val="auto"/>
                                <w:sz w:val="16"/>
                                <w:szCs w:val="18"/>
                              </w:rPr>
                            </w:pPr>
                            <w:r w:rsidRPr="00E35B2D">
                              <w:rPr>
                                <w:b w:val="0"/>
                                <w:bCs/>
                                <w:color w:val="auto"/>
                                <w:sz w:val="16"/>
                                <w:szCs w:val="18"/>
                              </w:rPr>
                              <w:t>Извор</w:t>
                            </w:r>
                            <w:r>
                              <w:rPr>
                                <w:b w:val="0"/>
                                <w:bCs/>
                                <w:color w:val="auto"/>
                                <w:sz w:val="16"/>
                                <w:szCs w:val="18"/>
                              </w:rPr>
                              <w:t xml:space="preserve"> података</w:t>
                            </w:r>
                            <w:r w:rsidRPr="00E35B2D">
                              <w:rPr>
                                <w:b w:val="0"/>
                                <w:bCs/>
                                <w:color w:val="auto"/>
                                <w:sz w:val="16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 w:val="0"/>
                                <w:bCs/>
                                <w:color w:val="auto"/>
                                <w:sz w:val="16"/>
                                <w:szCs w:val="18"/>
                              </w:rPr>
                              <w:t xml:space="preserve"> Општине и региони у Републици Србији – различита издања, Републички завод за статистику</w:t>
                            </w:r>
                          </w:p>
                        </w:txbxContent>
                      </wps:txbx>
                      <wps:bodyPr rot="0" vert="horz" wrap="square" lIns="72000" tIns="72000" rIns="72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6D70A" id="_x0000_s1029" type="#_x0000_t202" style="position:absolute;left:0;text-align:left;margin-left:59.8pt;margin-top:0;width:348.4pt;height:259.1pt;z-index:251694080;visibility:visible;mso-wrap-style:square;mso-width-percent:0;mso-height-percent:0;mso-wrap-distance-left:9pt;mso-wrap-distance-top:8.5pt;mso-wrap-distance-right:9pt;mso-wrap-distance-bottom:8.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2KGDAIAAP4DAAAOAAAAZHJzL2Uyb0RvYy54bWysU9tu2zAMfR+wfxD0vthJ06414hRdugwD&#10;ugvQ7QNkWY6FyaJGKbGzry8lu2m2vQ3Tg0CK1BF5eLS6HTrDDgq9Blvy+SznTFkJtba7kn//tn1z&#10;zZkPwtbCgFUlPyrPb9evX616V6gFtGBqhYxArC96V/I2BFdkmZet6oSfgVOWgg1gJwK5uMtqFD2h&#10;dyZb5PlV1gPWDkEq7+n0fgzydcJvGiXDl6bxKjBTcqotpB3TXsU9W69EsUPhWi2nMsQ/VNEJbenR&#10;E9S9CILtUf8F1WmJ4KEJMwldBk2jpUo9UDfz/I9uHlvhVOqFyPHuRJP/f7Dy8+HRfUUWhncw0ABT&#10;E949gPzhmYVNK+xO3SFC3ypR08PzSFnWO19MVyPVvvARpOo/QU1DFvsACWhosIusUJ+M0GkAxxPp&#10;aghM0uFyuVgucwpJil0sbvLoxDdE8XzdoQ8fFHQsGiVHmmqCF4cHH8bU55T4mgej6602Jjm4qzYG&#10;2UGQArZpTei/pRnL+pLfXC4uE7KFeD+Jo9OBFGp0V/LrPK5RM5GO97ZOKUFoM9pUtLETP5GSkZww&#10;VAPTNbUX70a6KqiPRBjCKEj6QGS0gL8460mMJfc/9wIVZ+ajJdLfktSjes8dPHeq5FxcpTRhJUGV&#10;PHA2mpuQFJ/ocHc0nK1OtL1UMpVMIkvETx8iqvjcT1kv33b9BAAA//8DAFBLAwQUAAYACAAAACEA&#10;2Rn0P90AAAAIAQAADwAAAGRycy9kb3ducmV2LnhtbEyPQUvDQBSE74L/YXkFb3aTYEMasykqePAk&#10;xoJ422Zfk9Ds25Ddptt/7/Okx2GGmW+qXbSjWHD2gyMF6ToBgdQ6M1CnYP/5el+A8EGT0aMjVHBF&#10;D7v69qbSpXEX+sClCZ3gEvKlVtCHMJVS+rZHq/3aTUjsHd1sdWA5d9LM+sLldpRZkuTS6oF4odcT&#10;vvTYnpqzVfAVMz9cm/i2f162hXPfx42nd6XuVvHpEUTAGP7C8IvP6FAz08GdyXgxsk63OUcV8CO2&#10;izR/AHFQsEmLDGRdyf8H6h8AAAD//wMAUEsBAi0AFAAGAAgAAAAhALaDOJL+AAAA4QEAABMAAAAA&#10;AAAAAAAAAAAAAAAAAFtDb250ZW50X1R5cGVzXS54bWxQSwECLQAUAAYACAAAACEAOP0h/9YAAACU&#10;AQAACwAAAAAAAAAAAAAAAAAvAQAAX3JlbHMvLnJlbHNQSwECLQAUAAYACAAAACEAQqdihgwCAAD+&#10;AwAADgAAAAAAAAAAAAAAAAAuAgAAZHJzL2Uyb0RvYy54bWxQSwECLQAUAAYACAAAACEA2Rn0P90A&#10;AAAIAQAADwAAAAAAAAAAAAAAAABmBAAAZHJzL2Rvd25yZXYueG1sUEsFBgAAAAAEAAQA8wAAAHAF&#10;AAAAAA==&#10;" o:allowoverlap="f" stroked="f">
                <v:textbox style="mso-fit-shape-to-text:t" inset="2mm,2mm,2mm,1mm">
                  <w:txbxContent>
                    <w:p w14:paraId="04FA2BFF" w14:textId="6D2D9D70" w:rsidR="000B118B" w:rsidRDefault="000B118B" w:rsidP="00E92457">
                      <w:pPr>
                        <w:pStyle w:val="Caption1"/>
                        <w:spacing w:after="0"/>
                      </w:pPr>
                      <w:r>
                        <w:t>Графикон 4. Укупне инвестиције за период 2017-2020: структура према делатностима</w:t>
                      </w:r>
                    </w:p>
                    <w:p w14:paraId="0C7691CF" w14:textId="4220B3E7" w:rsidR="000B118B" w:rsidRDefault="000B118B" w:rsidP="00E92457">
                      <w:pPr>
                        <w:pStyle w:val="Caption1"/>
                        <w:spacing w:after="0"/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0B1C8911" wp14:editId="05F64FEE">
                            <wp:extent cx="4347845" cy="2562225"/>
                            <wp:effectExtent l="0" t="0" r="0" b="0"/>
                            <wp:docPr id="15" name="Chart 1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ADB36D6-1786-4D1A-B20A-FB27E595274C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9"/>
                              </a:graphicData>
                            </a:graphic>
                          </wp:inline>
                        </w:drawing>
                      </w:r>
                    </w:p>
                    <w:p w14:paraId="106C69D7" w14:textId="2A250C50" w:rsidR="000B118B" w:rsidRPr="00EB0394" w:rsidRDefault="000B118B" w:rsidP="00E92457">
                      <w:pPr>
                        <w:pStyle w:val="Caption1"/>
                        <w:spacing w:after="0"/>
                        <w:rPr>
                          <w:b w:val="0"/>
                          <w:bCs/>
                          <w:color w:val="auto"/>
                          <w:sz w:val="4"/>
                          <w:szCs w:val="4"/>
                        </w:rPr>
                      </w:pPr>
                      <w:r w:rsidRPr="00EB0394">
                        <w:rPr>
                          <w:b w:val="0"/>
                          <w:bCs/>
                          <w:color w:val="auto"/>
                          <w:sz w:val="4"/>
                          <w:szCs w:val="4"/>
                        </w:rPr>
                        <w:t xml:space="preserve"> </w:t>
                      </w:r>
                    </w:p>
                    <w:p w14:paraId="3BC46BB4" w14:textId="3467E296" w:rsidR="000B118B" w:rsidRPr="00E35B2D" w:rsidRDefault="000B118B" w:rsidP="00E92457">
                      <w:pPr>
                        <w:pStyle w:val="Caption1"/>
                        <w:spacing w:after="0"/>
                        <w:rPr>
                          <w:b w:val="0"/>
                          <w:bCs/>
                          <w:color w:val="auto"/>
                          <w:sz w:val="16"/>
                          <w:szCs w:val="18"/>
                        </w:rPr>
                      </w:pPr>
                      <w:r w:rsidRPr="00E35B2D">
                        <w:rPr>
                          <w:b w:val="0"/>
                          <w:bCs/>
                          <w:color w:val="auto"/>
                          <w:sz w:val="16"/>
                          <w:szCs w:val="18"/>
                        </w:rPr>
                        <w:t>Извор</w:t>
                      </w:r>
                      <w:r>
                        <w:rPr>
                          <w:b w:val="0"/>
                          <w:bCs/>
                          <w:color w:val="auto"/>
                          <w:sz w:val="16"/>
                          <w:szCs w:val="18"/>
                        </w:rPr>
                        <w:t xml:space="preserve"> података</w:t>
                      </w:r>
                      <w:r w:rsidRPr="00E35B2D">
                        <w:rPr>
                          <w:b w:val="0"/>
                          <w:bCs/>
                          <w:color w:val="auto"/>
                          <w:sz w:val="16"/>
                          <w:szCs w:val="18"/>
                        </w:rPr>
                        <w:t>:</w:t>
                      </w:r>
                      <w:r>
                        <w:rPr>
                          <w:b w:val="0"/>
                          <w:bCs/>
                          <w:color w:val="auto"/>
                          <w:sz w:val="16"/>
                          <w:szCs w:val="18"/>
                        </w:rPr>
                        <w:t xml:space="preserve"> Општине и региони у Републици Србији – различита издања, Републички завод за статистику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92457" w:rsidRPr="00E92457">
        <w:rPr>
          <w:sz w:val="4"/>
          <w:szCs w:val="4"/>
          <w:lang w:eastAsia="en-US"/>
        </w:rPr>
        <w:t xml:space="preserve"> </w:t>
      </w:r>
      <w:r w:rsidR="00AB6A3B">
        <w:rPr>
          <w:sz w:val="4"/>
          <w:szCs w:val="4"/>
          <w:lang w:eastAsia="en-US"/>
        </w:rPr>
        <w:t>а</w:t>
      </w:r>
    </w:p>
    <w:p w14:paraId="159D704B" w14:textId="6CF8BE78" w:rsidR="002B3DA2" w:rsidRDefault="00963851" w:rsidP="00667406">
      <w:pPr>
        <w:rPr>
          <w:b/>
          <w:bCs/>
          <w:color w:val="2F5496"/>
          <w:lang w:eastAsia="en-US"/>
        </w:rPr>
      </w:pPr>
      <w:r>
        <w:rPr>
          <w:b/>
          <w:bCs/>
          <w:color w:val="2F5496"/>
          <w:lang w:eastAsia="en-US"/>
        </w:rPr>
        <w:t>Највећи корисници подстицаја регионалног развоја на територији општине Смедеревска Паланка су велика предузећа</w:t>
      </w:r>
      <w:r w:rsidR="005F6AB2">
        <w:rPr>
          <w:b/>
          <w:bCs/>
          <w:color w:val="2F5496"/>
          <w:lang w:eastAsia="en-US"/>
        </w:rPr>
        <w:t>.</w:t>
      </w:r>
      <w:r w:rsidRPr="00963851">
        <w:rPr>
          <w:rStyle w:val="FootnoteReference"/>
          <w:lang w:eastAsia="en-US"/>
        </w:rPr>
        <w:footnoteReference w:id="21"/>
      </w:r>
      <w:r>
        <w:rPr>
          <w:lang w:eastAsia="en-US"/>
        </w:rPr>
        <w:t xml:space="preserve"> У периоду 2018-2021. године укупни подстицаји регионалног развоја на територији Општине износили су 1,7 милијарди динара, од чега се половина (850 милиона) односила на велика привредна друштва. Удео свих привредних субјеката (укључујући и мала и средња предузећа и предузетнике) у посматраном периоду износи 70%. Значајан корисник подстицаја регионалног развоја су и регистровани пољопривредници (на које се односи близу 1/5 укупног износа реализованог током посматраног периода), док су је учешће осталих корисника, укључујући и државне органе и јавне установе, релативно мало. </w:t>
      </w:r>
      <w:r w:rsidR="0088200F">
        <w:rPr>
          <w:lang w:eastAsia="en-US"/>
        </w:rPr>
        <w:t>Посматрано према намени, више од 1/3 укупног износа било је намењено за подстицање извоза, а значајна средства су утрошена и на подстицање пољопривредне производње (18% укупно додељеног износа) и подстицање запослености (14%). Од укупног износа, 60% средстава додељено је бесповратно, док преосталих 40% чине кредити.</w:t>
      </w:r>
      <w:r w:rsidR="0088200F">
        <w:rPr>
          <w:lang w:eastAsia="en-US"/>
        </w:rPr>
        <w:tab/>
      </w:r>
    </w:p>
    <w:p w14:paraId="5F4C4E0D" w14:textId="37ED87C6" w:rsidR="005D7925" w:rsidRPr="00F731CB" w:rsidRDefault="0068042F" w:rsidP="007D2306">
      <w:pPr>
        <w:rPr>
          <w:lang w:eastAsia="en-US"/>
        </w:rPr>
      </w:pPr>
      <w:r>
        <w:rPr>
          <w:lang w:eastAsia="en-US"/>
        </w:rPr>
        <w:t>Када је реч о страним директним инвестицијама, током дужег периода изоста</w:t>
      </w:r>
      <w:r w:rsidR="00AC0A0A">
        <w:rPr>
          <w:lang w:eastAsia="en-US"/>
        </w:rPr>
        <w:t>ја</w:t>
      </w:r>
      <w:r>
        <w:rPr>
          <w:lang w:eastAsia="en-US"/>
        </w:rPr>
        <w:t>о је значајнији прилив страних инвестиција, изузев кроз процес приватизације</w:t>
      </w:r>
      <w:r w:rsidR="007D2306" w:rsidRPr="007D2306">
        <w:rPr>
          <w:lang w:eastAsia="en-US"/>
        </w:rPr>
        <w:t xml:space="preserve">. </w:t>
      </w:r>
      <w:r w:rsidR="007D2306">
        <w:rPr>
          <w:lang w:eastAsia="en-US"/>
        </w:rPr>
        <w:t xml:space="preserve">Пример оваквог типа успешне приватизације је „Гоша ФОМ“, коју је 2005. купио конзорцијум руског и домаћег капитала. </w:t>
      </w:r>
      <w:r w:rsidR="00B609C4">
        <w:rPr>
          <w:lang w:eastAsia="en-US"/>
        </w:rPr>
        <w:t>Прв</w:t>
      </w:r>
      <w:r w:rsidR="0026088E">
        <w:rPr>
          <w:lang w:eastAsia="en-US"/>
        </w:rPr>
        <w:t>у</w:t>
      </w:r>
      <w:r w:rsidR="00B609C4">
        <w:rPr>
          <w:lang w:eastAsia="en-US"/>
        </w:rPr>
        <w:t xml:space="preserve"> велик</w:t>
      </w:r>
      <w:r w:rsidR="0026088E">
        <w:rPr>
          <w:lang w:eastAsia="en-US"/>
        </w:rPr>
        <w:t>у</w:t>
      </w:r>
      <w:r w:rsidR="00B609C4">
        <w:rPr>
          <w:lang w:eastAsia="en-US"/>
        </w:rPr>
        <w:t xml:space="preserve"> гринфилд инвестициј</w:t>
      </w:r>
      <w:r w:rsidR="0026088E">
        <w:rPr>
          <w:lang w:eastAsia="en-US"/>
        </w:rPr>
        <w:t>у</w:t>
      </w:r>
      <w:r w:rsidR="00B609C4">
        <w:rPr>
          <w:lang w:eastAsia="en-US"/>
        </w:rPr>
        <w:t xml:space="preserve"> </w:t>
      </w:r>
      <w:r w:rsidR="0026088E">
        <w:rPr>
          <w:lang w:eastAsia="en-US"/>
        </w:rPr>
        <w:t xml:space="preserve">представља </w:t>
      </w:r>
      <w:r w:rsidR="00B609C4">
        <w:rPr>
          <w:lang w:eastAsia="en-US"/>
        </w:rPr>
        <w:t>изградња производног погона к</w:t>
      </w:r>
      <w:r w:rsidR="00EA5FBF">
        <w:rPr>
          <w:lang w:eastAsia="en-US"/>
        </w:rPr>
        <w:t>орејск</w:t>
      </w:r>
      <w:r w:rsidR="00AC0A0A">
        <w:rPr>
          <w:lang w:eastAsia="en-US"/>
        </w:rPr>
        <w:t>е</w:t>
      </w:r>
      <w:r w:rsidR="00EA5FBF">
        <w:rPr>
          <w:lang w:eastAsia="en-US"/>
        </w:rPr>
        <w:t xml:space="preserve"> </w:t>
      </w:r>
      <w:r w:rsidR="00B609C4">
        <w:rPr>
          <w:lang w:eastAsia="en-US"/>
        </w:rPr>
        <w:t>компаније „</w:t>
      </w:r>
      <w:r w:rsidR="00EA5FBF" w:rsidRPr="008C4147">
        <w:rPr>
          <w:i/>
          <w:iCs/>
          <w:lang w:eastAsia="en-US"/>
        </w:rPr>
        <w:t>Kyungshin Cable</w:t>
      </w:r>
      <w:r w:rsidR="00B609C4">
        <w:rPr>
          <w:lang w:eastAsia="en-US"/>
        </w:rPr>
        <w:t xml:space="preserve">“. Ова компаније је 2021. године отворила погон у Смедеревкој Паланци, у оквиру индустријске зоне Губераш, </w:t>
      </w:r>
      <w:r w:rsidR="006063AF">
        <w:rPr>
          <w:lang w:eastAsia="en-US"/>
        </w:rPr>
        <w:t>где</w:t>
      </w:r>
      <w:r w:rsidR="00B609C4">
        <w:rPr>
          <w:lang w:eastAsia="en-US"/>
        </w:rPr>
        <w:t xml:space="preserve"> производи </w:t>
      </w:r>
      <w:r w:rsidR="00EA5FBF">
        <w:rPr>
          <w:lang w:eastAsia="en-US"/>
        </w:rPr>
        <w:t xml:space="preserve">делове за батерије електричних аутомобила. </w:t>
      </w:r>
      <w:r w:rsidR="00D05538">
        <w:rPr>
          <w:lang w:eastAsia="en-US"/>
        </w:rPr>
        <w:t>Улагање износи око 20 милиона ЕУР, и</w:t>
      </w:r>
      <w:r w:rsidR="0026088E">
        <w:rPr>
          <w:lang w:eastAsia="en-US"/>
        </w:rPr>
        <w:t>,</w:t>
      </w:r>
      <w:r w:rsidR="00D05538">
        <w:rPr>
          <w:lang w:eastAsia="en-US"/>
        </w:rPr>
        <w:t xml:space="preserve"> п</w:t>
      </w:r>
      <w:r w:rsidR="00EA5FBF">
        <w:rPr>
          <w:lang w:eastAsia="en-US"/>
        </w:rPr>
        <w:t xml:space="preserve">рема </w:t>
      </w:r>
      <w:r w:rsidR="007B1CEF">
        <w:rPr>
          <w:lang w:eastAsia="en-US"/>
        </w:rPr>
        <w:t>Р</w:t>
      </w:r>
      <w:r w:rsidR="00D05538">
        <w:rPr>
          <w:lang w:eastAsia="en-US"/>
        </w:rPr>
        <w:t>азвојној агенцији Србије, р</w:t>
      </w:r>
      <w:r w:rsidR="00EA5FBF">
        <w:rPr>
          <w:lang w:eastAsia="en-US"/>
        </w:rPr>
        <w:t xml:space="preserve">еч је о првој значајнијој инвестицији у нове производне погоне у Смедеревској Паланци </w:t>
      </w:r>
      <w:r w:rsidR="00D05538">
        <w:rPr>
          <w:lang w:eastAsia="en-US"/>
        </w:rPr>
        <w:t>у последњих 60 година</w:t>
      </w:r>
      <w:r w:rsidR="00D05538">
        <w:rPr>
          <w:rStyle w:val="FootnoteReference"/>
          <w:lang w:eastAsia="en-US"/>
        </w:rPr>
        <w:footnoteReference w:id="22"/>
      </w:r>
      <w:r w:rsidR="00D05538">
        <w:rPr>
          <w:lang w:eastAsia="en-US"/>
        </w:rPr>
        <w:t xml:space="preserve">. </w:t>
      </w:r>
    </w:p>
    <w:p w14:paraId="3101F3B7" w14:textId="2941DCDF" w:rsidR="00150E9F" w:rsidRDefault="00CB406D" w:rsidP="00CB406D">
      <w:pPr>
        <w:pStyle w:val="Heading3"/>
      </w:pPr>
      <w:bookmarkStart w:id="2" w:name="_Тржиште_рада"/>
      <w:bookmarkEnd w:id="2"/>
      <w:r>
        <w:lastRenderedPageBreak/>
        <w:t>Т</w:t>
      </w:r>
      <w:r w:rsidR="004763C0">
        <w:t>ржишт</w:t>
      </w:r>
      <w:r>
        <w:t>е</w:t>
      </w:r>
      <w:r w:rsidR="004763C0">
        <w:t xml:space="preserve"> рада</w:t>
      </w:r>
    </w:p>
    <w:bookmarkEnd w:id="0"/>
    <w:bookmarkEnd w:id="1"/>
    <w:p w14:paraId="1B8C3D53" w14:textId="5C94330E" w:rsidR="00667406" w:rsidRDefault="00380565" w:rsidP="00667406">
      <w:r w:rsidRPr="007D7CC5">
        <w:rPr>
          <w:b/>
          <w:bCs/>
          <w:color w:val="2F5496"/>
        </w:rPr>
        <w:t>Регистрована запосленост</w:t>
      </w:r>
      <w:r w:rsidRPr="007D7CC5">
        <w:rPr>
          <w:rStyle w:val="FootnoteReference"/>
        </w:rPr>
        <w:footnoteReference w:id="23"/>
      </w:r>
      <w:r w:rsidRPr="007D7CC5">
        <w:rPr>
          <w:vertAlign w:val="superscript"/>
        </w:rPr>
        <w:t>,</w:t>
      </w:r>
      <w:r w:rsidRPr="007D7CC5">
        <w:rPr>
          <w:rStyle w:val="FootnoteReference"/>
        </w:rPr>
        <w:footnoteReference w:id="24"/>
      </w:r>
      <w:r w:rsidRPr="007D7CC5">
        <w:t xml:space="preserve"> према општини рада </w:t>
      </w:r>
      <w:r w:rsidRPr="007D7CC5">
        <w:rPr>
          <w:b/>
          <w:bCs/>
          <w:color w:val="2F5496"/>
        </w:rPr>
        <w:t xml:space="preserve">на територији </w:t>
      </w:r>
      <w:r w:rsidR="007D7CC5">
        <w:rPr>
          <w:b/>
          <w:bCs/>
          <w:color w:val="2F5496"/>
        </w:rPr>
        <w:t xml:space="preserve">општине Смедеревска Паланка је износила 9 087 </w:t>
      </w:r>
      <w:r w:rsidRPr="007D7CC5">
        <w:rPr>
          <w:b/>
          <w:bCs/>
          <w:color w:val="2F5496"/>
        </w:rPr>
        <w:t>у 2021. години</w:t>
      </w:r>
      <w:r w:rsidRPr="007D7CC5">
        <w:t xml:space="preserve">. Од </w:t>
      </w:r>
      <w:r w:rsidR="007D7CC5">
        <w:t>тога</w:t>
      </w:r>
      <w:r w:rsidRPr="007D7CC5">
        <w:t xml:space="preserve">, </w:t>
      </w:r>
      <w:r w:rsidR="007D7CC5">
        <w:t xml:space="preserve">близу 70% лица било је </w:t>
      </w:r>
      <w:r w:rsidRPr="007D7CC5">
        <w:t>запослено код послодавца</w:t>
      </w:r>
      <w:r w:rsidR="00D77B41" w:rsidRPr="007D7CC5">
        <w:t xml:space="preserve">, </w:t>
      </w:r>
      <w:r w:rsidR="007D7CC5">
        <w:t xml:space="preserve">готово ¼ чинили су </w:t>
      </w:r>
      <w:r w:rsidR="00D77B41" w:rsidRPr="007D7CC5">
        <w:t>предузетници и самосталне делатности</w:t>
      </w:r>
      <w:r w:rsidR="007D7CC5">
        <w:t xml:space="preserve">, укључујући и лица запослена код њих, а </w:t>
      </w:r>
      <w:r w:rsidR="00D77B41" w:rsidRPr="007D7CC5">
        <w:t>регистровани пољопривредни</w:t>
      </w:r>
      <w:r w:rsidR="007D7CC5">
        <w:t>ци</w:t>
      </w:r>
      <w:r w:rsidR="00D77B41" w:rsidRPr="007D7CC5">
        <w:t xml:space="preserve"> </w:t>
      </w:r>
      <w:r w:rsidR="007D7CC5">
        <w:t>чинили су 8% укупног броја регистрованих запослених</w:t>
      </w:r>
      <w:r w:rsidR="00D77B41" w:rsidRPr="007D7CC5">
        <w:t>.</w:t>
      </w:r>
    </w:p>
    <w:p w14:paraId="26170016" w14:textId="07CBE33B" w:rsidR="00D77B41" w:rsidRDefault="007D7CC5" w:rsidP="005C407D">
      <w:pPr>
        <w:spacing w:after="0"/>
      </w:pPr>
      <w:r w:rsidRPr="00E23EB1">
        <w:rPr>
          <w:b/>
          <w:bCs/>
          <w:color w:val="2F5496"/>
        </w:rPr>
        <w:t xml:space="preserve">Динамика кретања </w:t>
      </w:r>
      <w:r w:rsidR="005C407D">
        <w:rPr>
          <w:b/>
          <w:bCs/>
          <w:color w:val="2F5496"/>
        </w:rPr>
        <w:t xml:space="preserve">броја </w:t>
      </w:r>
      <w:r w:rsidR="00E23EB1" w:rsidRPr="00E23EB1">
        <w:rPr>
          <w:b/>
          <w:bCs/>
          <w:color w:val="2F5496"/>
        </w:rPr>
        <w:t>регистрован</w:t>
      </w:r>
      <w:r w:rsidR="005C407D">
        <w:rPr>
          <w:b/>
          <w:bCs/>
          <w:color w:val="2F5496"/>
        </w:rPr>
        <w:t>их</w:t>
      </w:r>
      <w:r w:rsidR="00E23EB1" w:rsidRPr="00E23EB1">
        <w:rPr>
          <w:b/>
          <w:bCs/>
          <w:color w:val="2F5496"/>
        </w:rPr>
        <w:t xml:space="preserve"> запослен</w:t>
      </w:r>
      <w:r w:rsidR="005C407D">
        <w:rPr>
          <w:b/>
          <w:bCs/>
          <w:color w:val="2F5496"/>
        </w:rPr>
        <w:t xml:space="preserve">их лица која раде у општини Смедеревска Паланка </w:t>
      </w:r>
      <w:r w:rsidR="00E23EB1" w:rsidRPr="00E23EB1">
        <w:rPr>
          <w:b/>
          <w:bCs/>
          <w:color w:val="2F5496"/>
        </w:rPr>
        <w:t>у претходном периоду била је неповољна</w:t>
      </w:r>
      <w:r w:rsidR="00E23EB1">
        <w:t xml:space="preserve">. Као што је приказано на Графикону 5, регистрована запосленост </w:t>
      </w:r>
      <w:r w:rsidR="005C407D">
        <w:t xml:space="preserve">према општини рада </w:t>
      </w:r>
      <w:r w:rsidR="00E23EB1">
        <w:t xml:space="preserve">у претходних пет година показује стагнацију, уз тенденцију смањења у појединим годинама. Смедеревска Паланка је једна од малог броја локалних самоуправа у Србији у којој </w:t>
      </w:r>
      <w:r w:rsidR="00B759BE">
        <w:t xml:space="preserve">у 2021. ради мањи </w:t>
      </w:r>
      <w:r w:rsidR="00E23EB1">
        <w:t xml:space="preserve">број регистрованих запослених лица него у 2017. години </w:t>
      </w:r>
      <w:r w:rsidR="00BF3C9F">
        <w:t xml:space="preserve">– </w:t>
      </w:r>
      <w:r w:rsidR="00E23EB1">
        <w:t>и</w:t>
      </w:r>
      <w:r w:rsidR="00BF3C9F">
        <w:t xml:space="preserve"> </w:t>
      </w:r>
      <w:r w:rsidR="00E23EB1">
        <w:t xml:space="preserve"> то за око 400 лица, </w:t>
      </w:r>
      <w:r w:rsidR="00B759BE">
        <w:t xml:space="preserve">односно </w:t>
      </w:r>
      <w:r w:rsidR="00E23EB1">
        <w:t>за 4,5%.</w:t>
      </w:r>
      <w:r w:rsidR="00BF3C9F">
        <w:t xml:space="preserve"> У исто</w:t>
      </w:r>
      <w:r w:rsidR="00B759BE">
        <w:t>м</w:t>
      </w:r>
      <w:r w:rsidR="00BF3C9F">
        <w:t xml:space="preserve"> </w:t>
      </w:r>
      <w:r w:rsidR="00B759BE">
        <w:t>периоду</w:t>
      </w:r>
      <w:r w:rsidR="00BF3C9F">
        <w:t xml:space="preserve">, регистрована запосленост </w:t>
      </w:r>
      <w:r w:rsidR="00B759BE">
        <w:t xml:space="preserve">према општини рада </w:t>
      </w:r>
      <w:r w:rsidR="00BF3C9F">
        <w:t>на територији Републике је порасла за 9,3%, а у Подунавској област</w:t>
      </w:r>
      <w:r w:rsidR="00B759BE">
        <w:t xml:space="preserve">и за 9,8%. </w:t>
      </w:r>
      <w:r w:rsidR="00BF3C9F">
        <w:t xml:space="preserve"> </w:t>
      </w:r>
    </w:p>
    <w:p w14:paraId="0CBCA01A" w14:textId="107BE52B" w:rsidR="007F09E5" w:rsidRPr="007F09E5" w:rsidRDefault="005C407D" w:rsidP="007F09E5">
      <w:pPr>
        <w:spacing w:after="0" w:line="240" w:lineRule="auto"/>
        <w:rPr>
          <w:sz w:val="4"/>
          <w:szCs w:val="4"/>
        </w:rPr>
      </w:pPr>
      <w:r w:rsidRPr="002B3DA2">
        <w:rPr>
          <w:noProof/>
          <w:sz w:val="4"/>
          <w:szCs w:val="4"/>
          <w:highlight w:val="lightGray"/>
          <w:lang w:val="en-US" w:eastAsia="en-US"/>
        </w:rPr>
        <mc:AlternateContent>
          <mc:Choice Requires="wps">
            <w:drawing>
              <wp:anchor distT="107950" distB="107950" distL="114300" distR="114300" simplePos="0" relativeHeight="251708416" behindDoc="0" locked="0" layoutInCell="1" allowOverlap="0" wp14:anchorId="7C13629B" wp14:editId="0EBAD929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6086475" cy="2832735"/>
                <wp:effectExtent l="0" t="0" r="9525" b="6350"/>
                <wp:wrapTopAndBottom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83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4F34E" w14:textId="77777777" w:rsidR="000B118B" w:rsidRDefault="000B118B" w:rsidP="005C407D">
                            <w:pPr>
                              <w:pStyle w:val="Caption1"/>
                              <w:spacing w:after="0"/>
                            </w:pPr>
                            <w:r>
                              <w:t>Графикон 5. Регистрована запосленост (према општини рада) у Смедеревској Паланци</w:t>
                            </w:r>
                          </w:p>
                          <w:p w14:paraId="6946BB98" w14:textId="77777777" w:rsidR="000B118B" w:rsidRDefault="000B118B" w:rsidP="005C407D">
                            <w:pPr>
                              <w:pStyle w:val="Caption1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2938E1B2" wp14:editId="06373F16">
                                  <wp:extent cx="4206875" cy="2076450"/>
                                  <wp:effectExtent l="0" t="0" r="3175" b="0"/>
                                  <wp:docPr id="9" name="Chart 9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B87F2820-A609-4727-8611-9201479A573E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20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97A244" w14:textId="77777777" w:rsidR="000B118B" w:rsidRPr="00E35B2D" w:rsidRDefault="000B118B" w:rsidP="005C407D">
                            <w:pPr>
                              <w:pStyle w:val="Caption1"/>
                              <w:spacing w:after="0"/>
                              <w:rPr>
                                <w:b w:val="0"/>
                                <w:bCs/>
                                <w:color w:val="auto"/>
                                <w:sz w:val="16"/>
                                <w:szCs w:val="18"/>
                              </w:rPr>
                            </w:pPr>
                            <w:r w:rsidRPr="00E35B2D">
                              <w:rPr>
                                <w:b w:val="0"/>
                                <w:bCs/>
                                <w:color w:val="auto"/>
                                <w:sz w:val="16"/>
                                <w:szCs w:val="18"/>
                              </w:rPr>
                              <w:t>Извор</w:t>
                            </w:r>
                            <w:r>
                              <w:rPr>
                                <w:b w:val="0"/>
                                <w:bCs/>
                                <w:color w:val="auto"/>
                                <w:sz w:val="16"/>
                                <w:szCs w:val="18"/>
                              </w:rPr>
                              <w:t xml:space="preserve"> података</w:t>
                            </w:r>
                            <w:r w:rsidRPr="00E35B2D">
                              <w:rPr>
                                <w:b w:val="0"/>
                                <w:bCs/>
                                <w:color w:val="auto"/>
                                <w:sz w:val="16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 w:val="0"/>
                                <w:bCs/>
                                <w:color w:val="auto"/>
                                <w:sz w:val="16"/>
                                <w:szCs w:val="18"/>
                              </w:rPr>
                              <w:t xml:space="preserve"> База података Републичког завода за статистику</w:t>
                            </w:r>
                          </w:p>
                        </w:txbxContent>
                      </wps:txbx>
                      <wps:bodyPr rot="0" vert="horz" wrap="square" lIns="72000" tIns="72000" rIns="72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3629B" id="_x0000_s1030" type="#_x0000_t202" style="position:absolute;left:0;text-align:left;margin-left:0;margin-top:10.75pt;width:479.25pt;height:223.05pt;z-index:251708416;visibility:visible;mso-wrap-style:square;mso-width-percent:0;mso-height-percent:0;mso-wrap-distance-left:9pt;mso-wrap-distance-top:8.5pt;mso-wrap-distance-right:9pt;mso-wrap-distance-bottom:8.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xzaEAIAAP4DAAAOAAAAZHJzL2Uyb0RvYy54bWysU9uO2yAQfa/Uf0C8N3aSzaVWyGqbbapK&#10;24u07QdgjGNUzFAgsdOv3wF7s2n7VpUHxMDMmZkzh81t32pyks4rMIxOJzkl0giolDkw+v3b/s2a&#10;Eh+4qbgGIxk9S09vt69fbTpbyBk0oCvpCIIYX3SW0SYEW2SZF41suZ+AlQYfa3AtD2i6Q1Y53iF6&#10;q7NZni+zDlxlHQjpPd7eD490m/DrWorwpa69DEQzirWFtLu0l3HPthteHBy3jRJjGfwfqmi5Mpj0&#10;AnXPAydHp/6CapVw4KEOEwFtBnWthEw9YDfT/I9uHhtuZeoFyfH2QpP/f7Di8+nRfnUk9O+gxwGm&#10;Jrx9APHDEwO7hpuDvHMOukbyChNPI2VZZ30xhkaqfeEjSNl9ggqHzI8BElBfuzaygn0SRMcBnC+k&#10;yz4QgZfLfL28WS0oEfg2W89nq/ki5eDFc7h1PnyQ0JJ4YNThVBM8Pz34EMvhxbNLzOZBq2qvtE6G&#10;O5Q77ciJowL2aY3ov7lpQzpG3y5mi4RsIMYncbQqoEK1ahld53ENmol0vDdVcglc6eGMlWgz8hMp&#10;GcgJfdkTVTF6E2MjXSVUZyTMwSBI/EB4aMD9oqRDMTLqfx65k5TojwZJX6HUo3qvDXdtlMmYL5Mb&#10;NwKhGA2UDMddSIpPdNg7HM5eJdpeKhlLRpElNscPEVV8bSevl2+7fQIAAP//AwBQSwMEFAAGAAgA&#10;AAAhAD5xABjdAAAABwEAAA8AAABkcnMvZG93bnJldi54bWxMj8FOwzAQRO9I/IO1SNyo04iENGRT&#10;ARIHTohQCXFzYzeJiNdR7Kbu37Oc6G1HM5p5W22jHcViZj84QlivEhCGWqcH6hB2n693BQgfFGk1&#10;OjIIZ+NhW19fVarU7kQfZmlCJ7iEfKkQ+hCmUkrf9sYqv3KTIfYObrYqsJw7qWd14nI7yjRJcmnV&#10;QLzQq8m89Kb9aY4W4Sumfjg38W33vGwK574Pmad3xNub+PQIIpgY/sPwh8/oUDPT3h1JezEi8CMB&#10;IV1nINjdZAUfe4T7/CEHWVfykr/+BQAA//8DAFBLAQItABQABgAIAAAAIQC2gziS/gAAAOEBAAAT&#10;AAAAAAAAAAAAAAAAAAAAAABbQ29udGVudF9UeXBlc10ueG1sUEsBAi0AFAAGAAgAAAAhADj9If/W&#10;AAAAlAEAAAsAAAAAAAAAAAAAAAAALwEAAF9yZWxzLy5yZWxzUEsBAi0AFAAGAAgAAAAhAPkLHNoQ&#10;AgAA/gMAAA4AAAAAAAAAAAAAAAAALgIAAGRycy9lMm9Eb2MueG1sUEsBAi0AFAAGAAgAAAAhAD5x&#10;ABjdAAAABwEAAA8AAAAAAAAAAAAAAAAAagQAAGRycy9kb3ducmV2LnhtbFBLBQYAAAAABAAEAPMA&#10;AAB0BQAAAAA=&#10;" o:allowoverlap="f" stroked="f">
                <v:textbox style="mso-fit-shape-to-text:t" inset="2mm,2mm,2mm,1mm">
                  <w:txbxContent>
                    <w:p w14:paraId="2C94F34E" w14:textId="77777777" w:rsidR="000B118B" w:rsidRDefault="000B118B" w:rsidP="005C407D">
                      <w:pPr>
                        <w:pStyle w:val="Caption1"/>
                        <w:spacing w:after="0"/>
                      </w:pPr>
                      <w:r>
                        <w:t>Графикон 5. Регистрована запосленост (према општини рада) у Смедеревској Паланци</w:t>
                      </w:r>
                    </w:p>
                    <w:p w14:paraId="6946BB98" w14:textId="77777777" w:rsidR="000B118B" w:rsidRDefault="000B118B" w:rsidP="005C407D">
                      <w:pPr>
                        <w:pStyle w:val="Caption1"/>
                        <w:spacing w:after="0"/>
                        <w:jc w:val="center"/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2938E1B2" wp14:editId="06373F16">
                            <wp:extent cx="4206875" cy="2076450"/>
                            <wp:effectExtent l="0" t="0" r="3175" b="0"/>
                            <wp:docPr id="9" name="Chart 9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87F2820-A609-4727-8611-9201479A573E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20"/>
                              </a:graphicData>
                            </a:graphic>
                          </wp:inline>
                        </w:drawing>
                      </w:r>
                    </w:p>
                    <w:p w14:paraId="5997A244" w14:textId="77777777" w:rsidR="000B118B" w:rsidRPr="00E35B2D" w:rsidRDefault="000B118B" w:rsidP="005C407D">
                      <w:pPr>
                        <w:pStyle w:val="Caption1"/>
                        <w:spacing w:after="0"/>
                        <w:rPr>
                          <w:b w:val="0"/>
                          <w:bCs/>
                          <w:color w:val="auto"/>
                          <w:sz w:val="16"/>
                          <w:szCs w:val="18"/>
                        </w:rPr>
                      </w:pPr>
                      <w:r w:rsidRPr="00E35B2D">
                        <w:rPr>
                          <w:b w:val="0"/>
                          <w:bCs/>
                          <w:color w:val="auto"/>
                          <w:sz w:val="16"/>
                          <w:szCs w:val="18"/>
                        </w:rPr>
                        <w:t>Извор</w:t>
                      </w:r>
                      <w:r>
                        <w:rPr>
                          <w:b w:val="0"/>
                          <w:bCs/>
                          <w:color w:val="auto"/>
                          <w:sz w:val="16"/>
                          <w:szCs w:val="18"/>
                        </w:rPr>
                        <w:t xml:space="preserve"> података</w:t>
                      </w:r>
                      <w:r w:rsidRPr="00E35B2D">
                        <w:rPr>
                          <w:b w:val="0"/>
                          <w:bCs/>
                          <w:color w:val="auto"/>
                          <w:sz w:val="16"/>
                          <w:szCs w:val="18"/>
                        </w:rPr>
                        <w:t>:</w:t>
                      </w:r>
                      <w:r>
                        <w:rPr>
                          <w:b w:val="0"/>
                          <w:bCs/>
                          <w:color w:val="auto"/>
                          <w:sz w:val="16"/>
                          <w:szCs w:val="18"/>
                        </w:rPr>
                        <w:t xml:space="preserve"> База података Републичког завода за статистику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F09E5" w:rsidRPr="007F09E5">
        <w:rPr>
          <w:sz w:val="4"/>
          <w:szCs w:val="4"/>
        </w:rPr>
        <w:t xml:space="preserve"> </w:t>
      </w:r>
    </w:p>
    <w:p w14:paraId="5345B287" w14:textId="6386EF81" w:rsidR="00775EEF" w:rsidRDefault="00775EEF" w:rsidP="00775EEF">
      <w:pPr>
        <w:spacing w:after="0"/>
      </w:pPr>
      <w:r>
        <w:rPr>
          <w:b/>
          <w:bCs/>
          <w:color w:val="2F5496"/>
        </w:rPr>
        <w:t xml:space="preserve">У прерађивачкој индустрији запослена је четвртина укупног броја регистрованих запослених који </w:t>
      </w:r>
      <w:r w:rsidR="005C407D">
        <w:rPr>
          <w:b/>
          <w:bCs/>
          <w:color w:val="2F5496"/>
        </w:rPr>
        <w:t>раде на територији општине Смедеревска Паланка</w:t>
      </w:r>
      <w:r w:rsidR="005C407D" w:rsidRPr="005C407D">
        <w:t xml:space="preserve">. </w:t>
      </w:r>
      <w:r w:rsidR="005C407D">
        <w:t xml:space="preserve">Структура регистроване запослености по делатностима у 2021. години приказана је на Графикону 6. Уочава се да је ¼ укупног броја радила у прерађивачкој индустрији (више од 2 200 лица), </w:t>
      </w:r>
      <w:r>
        <w:t xml:space="preserve">а за запосленост је значајна и трговина, са учешћем од око 15% (1 400 лица). </w:t>
      </w:r>
    </w:p>
    <w:p w14:paraId="04BDA539" w14:textId="43F20D83" w:rsidR="00775EEF" w:rsidRPr="00775EEF" w:rsidRDefault="00775EEF" w:rsidP="003E02C1">
      <w:pPr>
        <w:rPr>
          <w:b/>
          <w:bCs/>
          <w:color w:val="2F5496"/>
          <w:sz w:val="4"/>
          <w:szCs w:val="4"/>
        </w:rPr>
      </w:pPr>
      <w:r w:rsidRPr="0047647B">
        <w:rPr>
          <w:noProof/>
          <w:sz w:val="4"/>
          <w:szCs w:val="4"/>
          <w:lang w:val="en-US" w:eastAsia="en-US"/>
        </w:rPr>
        <w:lastRenderedPageBreak/>
        <mc:AlternateContent>
          <mc:Choice Requires="wps">
            <w:drawing>
              <wp:anchor distT="107950" distB="107950" distL="114300" distR="114300" simplePos="0" relativeHeight="251710464" behindDoc="0" locked="0" layoutInCell="1" allowOverlap="0" wp14:anchorId="4A4E39E9" wp14:editId="0AF0A7B9">
                <wp:simplePos x="0" y="0"/>
                <wp:positionH relativeFrom="column">
                  <wp:posOffset>133350</wp:posOffset>
                </wp:positionH>
                <wp:positionV relativeFrom="paragraph">
                  <wp:posOffset>107315</wp:posOffset>
                </wp:positionV>
                <wp:extent cx="6086475" cy="2638425"/>
                <wp:effectExtent l="0" t="0" r="9525" b="3175"/>
                <wp:wrapTopAndBottom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16C41" w14:textId="77777777" w:rsidR="000B118B" w:rsidRDefault="000B118B" w:rsidP="00775EEF">
                            <w:pPr>
                              <w:pStyle w:val="Caption1"/>
                              <w:spacing w:after="0"/>
                            </w:pPr>
                            <w:r>
                              <w:t>Графикон 6. Регистрована запосленост (према општини рада) по делатностима у 2021.</w:t>
                            </w:r>
                          </w:p>
                          <w:p w14:paraId="4FE2B927" w14:textId="77777777" w:rsidR="000B118B" w:rsidRPr="0053471D" w:rsidRDefault="000B118B" w:rsidP="00775EEF">
                            <w:pPr>
                              <w:pStyle w:val="Caption1"/>
                              <w:spacing w:after="0"/>
                              <w:rPr>
                                <w:b w:val="0"/>
                                <w:bCs/>
                                <w:sz w:val="18"/>
                                <w:szCs w:val="20"/>
                              </w:rPr>
                            </w:pPr>
                            <w:r w:rsidRPr="0053471D">
                              <w:rPr>
                                <w:b w:val="0"/>
                                <w:bCs/>
                                <w:sz w:val="18"/>
                                <w:szCs w:val="20"/>
                              </w:rPr>
                              <w:t>структура у %</w:t>
                            </w:r>
                          </w:p>
                          <w:p w14:paraId="47E5E835" w14:textId="77777777" w:rsidR="000B118B" w:rsidRDefault="000B118B" w:rsidP="00775EEF">
                            <w:pPr>
                              <w:pStyle w:val="Caption1"/>
                              <w:spacing w:after="0"/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0D8F51E3" wp14:editId="4E452B3C">
                                  <wp:extent cx="5686425" cy="2085975"/>
                                  <wp:effectExtent l="0" t="0" r="0" b="0"/>
                                  <wp:docPr id="1" name="Chart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434B4CAF-5484-4CED-A970-08F1BEF72521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21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0A0754" w14:textId="77777777" w:rsidR="000B118B" w:rsidRPr="00AB6A3B" w:rsidRDefault="000B118B" w:rsidP="00775EEF">
                            <w:pPr>
                              <w:pStyle w:val="Caption1"/>
                              <w:spacing w:before="60" w:after="0"/>
                              <w:rPr>
                                <w:b w:val="0"/>
                                <w:bCs/>
                                <w:color w:val="auto"/>
                                <w:sz w:val="16"/>
                                <w:szCs w:val="18"/>
                              </w:rPr>
                            </w:pPr>
                            <w:r w:rsidRPr="00AB6A3B">
                              <w:rPr>
                                <w:b w:val="0"/>
                                <w:bCs/>
                                <w:color w:val="auto"/>
                                <w:sz w:val="16"/>
                                <w:szCs w:val="18"/>
                              </w:rPr>
                              <w:t xml:space="preserve">* </w:t>
                            </w:r>
                            <w:r>
                              <w:rPr>
                                <w:b w:val="0"/>
                                <w:bCs/>
                                <w:color w:val="auto"/>
                                <w:sz w:val="16"/>
                                <w:szCs w:val="18"/>
                              </w:rPr>
                              <w:t>Обухваћени су и регистровани пољопривредници</w:t>
                            </w:r>
                          </w:p>
                          <w:p w14:paraId="4DC805B2" w14:textId="77777777" w:rsidR="000B118B" w:rsidRPr="00E35B2D" w:rsidRDefault="000B118B" w:rsidP="00775EEF">
                            <w:pPr>
                              <w:pStyle w:val="Caption1"/>
                              <w:spacing w:before="60" w:after="0"/>
                              <w:rPr>
                                <w:b w:val="0"/>
                                <w:bCs/>
                                <w:color w:val="auto"/>
                                <w:sz w:val="16"/>
                                <w:szCs w:val="18"/>
                              </w:rPr>
                            </w:pPr>
                            <w:r w:rsidRPr="00E35B2D">
                              <w:rPr>
                                <w:b w:val="0"/>
                                <w:bCs/>
                                <w:color w:val="auto"/>
                                <w:sz w:val="16"/>
                                <w:szCs w:val="18"/>
                              </w:rPr>
                              <w:t>Извор</w:t>
                            </w:r>
                            <w:r>
                              <w:rPr>
                                <w:b w:val="0"/>
                                <w:bCs/>
                                <w:color w:val="auto"/>
                                <w:sz w:val="16"/>
                                <w:szCs w:val="18"/>
                              </w:rPr>
                              <w:t xml:space="preserve"> података</w:t>
                            </w:r>
                            <w:r w:rsidRPr="00E35B2D">
                              <w:rPr>
                                <w:b w:val="0"/>
                                <w:bCs/>
                                <w:color w:val="auto"/>
                                <w:sz w:val="16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 w:val="0"/>
                                <w:bCs/>
                                <w:color w:val="auto"/>
                                <w:sz w:val="16"/>
                                <w:szCs w:val="18"/>
                              </w:rPr>
                              <w:t xml:space="preserve"> прорачун на основу података из Базе података Републичког завода за статистику</w:t>
                            </w:r>
                          </w:p>
                        </w:txbxContent>
                      </wps:txbx>
                      <wps:bodyPr rot="0" vert="horz" wrap="square" lIns="72000" tIns="72000" rIns="72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E39E9" id="_x0000_s1031" type="#_x0000_t202" style="position:absolute;left:0;text-align:left;margin-left:10.5pt;margin-top:8.45pt;width:479.25pt;height:207.75pt;z-index:251710464;visibility:visible;mso-wrap-style:square;mso-width-percent:0;mso-height-percent:0;mso-wrap-distance-left:9pt;mso-wrap-distance-top:8.5pt;mso-wrap-distance-right:9pt;mso-wrap-distance-bottom:8.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zh+EAIAAP4DAAAOAAAAZHJzL2Uyb0RvYy54bWysU9tu2zAMfR+wfxD0vthJmzQz4hRdugwD&#10;ugvQ7QMUWY6FyaJGKbGzry8lu2m2vQ3TgyBK5CF5eLS67VvDjgq9Blvy6STnTFkJlbb7kn//tn2z&#10;5MwHYSthwKqSn5Tnt+vXr1adK9QMGjCVQkYg1hedK3kTgiuyzMtGtcJPwClLjzVgKwKZuM8qFB2h&#10;tyab5fki6wArhyCV93R7PzzydcKvayXDl7r2KjBTcqotpB3Tvot7tl6JYo/CNVqOZYh/qKIV2lLS&#10;M9S9CIIdUP8F1WqJ4KEOEwltBnWtpUo9UDfT/I9uHhvhVOqFyPHuTJP/f7Dy8/HRfUUW+nfQ0wBT&#10;E949gPzhmYVNI+xe3SFC1yhRUeJppCzrnC/G0Ei1L3wE2XWfoKIhi0OABNTX2EZWqE9G6DSA05l0&#10;1Qcm6XKRLxfXN3POJL3NFlfL69k85RDFc7hDHz4oaFk8lBxpqgleHB98iOWI4tklZvNgdLXVxiQD&#10;97uNQXYUpIBtWiP6b27Gsq7kb+eUO0ZZiPFJHK0OpFCj25Iv87gGzUQ63tsquQShzXCmSowd+YmU&#10;DOSEftczXZU8NRbp2kF1IsIQBkHSB6JDA/iLs47EWHL/8yBQcWY+WiL9hqQe1Xtp4KWxS8bVIrkJ&#10;Kwmq5IGz4bgJSfGJDndHw9nqRNtLJWPJJLLE5vghooov7eT18m3XTwAAAP//AwBQSwMEFAAGAAgA&#10;AAAhAA888Y3fAAAACQEAAA8AAABkcnMvZG93bnJldi54bWxMj8FOwzAQRO9I/IO1SNyo09CWJo1T&#10;ARIHTohQCfXmxtskIl5HsZu6f89yosfZWc28KbbR9mLC0XeOFMxnCQik2pmOGgW7r7eHNQgfNBnd&#10;O0IFF/SwLW9vCp0bd6ZPnKrQCA4hn2sFbQhDLqWvW7Taz9yAxN7RjVYHlmMjzajPHG57mSbJSlrd&#10;ETe0esDXFuuf6mQVfMfUd5cqvu9epmzt3P649PSh1P1dfN6ACBjD/zP84TM6lMx0cCcyXvQK0jlP&#10;CXxfZSDYz56yJYiDgsVjugBZFvJ6QfkLAAD//wMAUEsBAi0AFAAGAAgAAAAhALaDOJL+AAAA4QEA&#10;ABMAAAAAAAAAAAAAAAAAAAAAAFtDb250ZW50X1R5cGVzXS54bWxQSwECLQAUAAYACAAAACEAOP0h&#10;/9YAAACUAQAACwAAAAAAAAAAAAAAAAAvAQAAX3JlbHMvLnJlbHNQSwECLQAUAAYACAAAACEAh/s4&#10;fhACAAD+AwAADgAAAAAAAAAAAAAAAAAuAgAAZHJzL2Uyb0RvYy54bWxQSwECLQAUAAYACAAAACEA&#10;Dzzxjd8AAAAJAQAADwAAAAAAAAAAAAAAAABqBAAAZHJzL2Rvd25yZXYueG1sUEsFBgAAAAAEAAQA&#10;8wAAAHYFAAAAAA==&#10;" o:allowoverlap="f" stroked="f">
                <v:textbox style="mso-fit-shape-to-text:t" inset="2mm,2mm,2mm,1mm">
                  <w:txbxContent>
                    <w:p w14:paraId="13416C41" w14:textId="77777777" w:rsidR="000B118B" w:rsidRDefault="000B118B" w:rsidP="00775EEF">
                      <w:pPr>
                        <w:pStyle w:val="Caption1"/>
                        <w:spacing w:after="0"/>
                      </w:pPr>
                      <w:r>
                        <w:t>Графикон 6. Регистрована запосленост (према општини рада) по делатностима у 2021.</w:t>
                      </w:r>
                    </w:p>
                    <w:p w14:paraId="4FE2B927" w14:textId="77777777" w:rsidR="000B118B" w:rsidRPr="0053471D" w:rsidRDefault="000B118B" w:rsidP="00775EEF">
                      <w:pPr>
                        <w:pStyle w:val="Caption1"/>
                        <w:spacing w:after="0"/>
                        <w:rPr>
                          <w:b w:val="0"/>
                          <w:bCs/>
                          <w:sz w:val="18"/>
                          <w:szCs w:val="20"/>
                        </w:rPr>
                      </w:pPr>
                      <w:r w:rsidRPr="0053471D">
                        <w:rPr>
                          <w:b w:val="0"/>
                          <w:bCs/>
                          <w:sz w:val="18"/>
                          <w:szCs w:val="20"/>
                        </w:rPr>
                        <w:t>структура у %</w:t>
                      </w:r>
                    </w:p>
                    <w:p w14:paraId="47E5E835" w14:textId="77777777" w:rsidR="000B118B" w:rsidRDefault="000B118B" w:rsidP="00775EEF">
                      <w:pPr>
                        <w:pStyle w:val="Caption1"/>
                        <w:spacing w:after="0"/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0D8F51E3" wp14:editId="4E452B3C">
                            <wp:extent cx="5686425" cy="2085975"/>
                            <wp:effectExtent l="0" t="0" r="0" b="0"/>
                            <wp:docPr id="1" name="Chart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434B4CAF-5484-4CED-A970-08F1BEF72521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21"/>
                              </a:graphicData>
                            </a:graphic>
                          </wp:inline>
                        </w:drawing>
                      </w:r>
                    </w:p>
                    <w:p w14:paraId="5A0A0754" w14:textId="77777777" w:rsidR="000B118B" w:rsidRPr="00AB6A3B" w:rsidRDefault="000B118B" w:rsidP="00775EEF">
                      <w:pPr>
                        <w:pStyle w:val="Caption1"/>
                        <w:spacing w:before="60" w:after="0"/>
                        <w:rPr>
                          <w:b w:val="0"/>
                          <w:bCs/>
                          <w:color w:val="auto"/>
                          <w:sz w:val="16"/>
                          <w:szCs w:val="18"/>
                        </w:rPr>
                      </w:pPr>
                      <w:r w:rsidRPr="00AB6A3B">
                        <w:rPr>
                          <w:b w:val="0"/>
                          <w:bCs/>
                          <w:color w:val="auto"/>
                          <w:sz w:val="16"/>
                          <w:szCs w:val="18"/>
                        </w:rPr>
                        <w:t xml:space="preserve">* </w:t>
                      </w:r>
                      <w:r>
                        <w:rPr>
                          <w:b w:val="0"/>
                          <w:bCs/>
                          <w:color w:val="auto"/>
                          <w:sz w:val="16"/>
                          <w:szCs w:val="18"/>
                        </w:rPr>
                        <w:t>Обухваћени су и регистровани пољопривредници</w:t>
                      </w:r>
                    </w:p>
                    <w:p w14:paraId="4DC805B2" w14:textId="77777777" w:rsidR="000B118B" w:rsidRPr="00E35B2D" w:rsidRDefault="000B118B" w:rsidP="00775EEF">
                      <w:pPr>
                        <w:pStyle w:val="Caption1"/>
                        <w:spacing w:before="60" w:after="0"/>
                        <w:rPr>
                          <w:b w:val="0"/>
                          <w:bCs/>
                          <w:color w:val="auto"/>
                          <w:sz w:val="16"/>
                          <w:szCs w:val="18"/>
                        </w:rPr>
                      </w:pPr>
                      <w:r w:rsidRPr="00E35B2D">
                        <w:rPr>
                          <w:b w:val="0"/>
                          <w:bCs/>
                          <w:color w:val="auto"/>
                          <w:sz w:val="16"/>
                          <w:szCs w:val="18"/>
                        </w:rPr>
                        <w:t>Извор</w:t>
                      </w:r>
                      <w:r>
                        <w:rPr>
                          <w:b w:val="0"/>
                          <w:bCs/>
                          <w:color w:val="auto"/>
                          <w:sz w:val="16"/>
                          <w:szCs w:val="18"/>
                        </w:rPr>
                        <w:t xml:space="preserve"> података</w:t>
                      </w:r>
                      <w:r w:rsidRPr="00E35B2D">
                        <w:rPr>
                          <w:b w:val="0"/>
                          <w:bCs/>
                          <w:color w:val="auto"/>
                          <w:sz w:val="16"/>
                          <w:szCs w:val="18"/>
                        </w:rPr>
                        <w:t>:</w:t>
                      </w:r>
                      <w:r>
                        <w:rPr>
                          <w:b w:val="0"/>
                          <w:bCs/>
                          <w:color w:val="auto"/>
                          <w:sz w:val="16"/>
                          <w:szCs w:val="18"/>
                        </w:rPr>
                        <w:t xml:space="preserve"> прорачун на основу података из Базе података Републичког завода за статистику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775EEF">
        <w:rPr>
          <w:sz w:val="4"/>
          <w:szCs w:val="4"/>
        </w:rPr>
        <w:t xml:space="preserve"> </w:t>
      </w:r>
    </w:p>
    <w:p w14:paraId="1AB868F9" w14:textId="0E258894" w:rsidR="00BD6167" w:rsidRPr="00BD6167" w:rsidRDefault="00775EEF" w:rsidP="00775EEF">
      <w:pPr>
        <w:spacing w:after="0"/>
      </w:pPr>
      <w:r>
        <w:rPr>
          <w:b/>
          <w:bCs/>
          <w:color w:val="2F5496"/>
        </w:rPr>
        <w:t>У претходних пет година дошло је до одређених промена у структури регистроване запослености према делатностима</w:t>
      </w:r>
      <w:r w:rsidRPr="00775EEF">
        <w:t xml:space="preserve">. </w:t>
      </w:r>
      <w:r w:rsidR="00BD6167">
        <w:t>Наиме, у 2021. у односу на 2017. годину смањ</w:t>
      </w:r>
      <w:r w:rsidR="00323E73">
        <w:t>ен</w:t>
      </w:r>
      <w:r w:rsidR="00BD6167">
        <w:t xml:space="preserve"> </w:t>
      </w:r>
      <w:r w:rsidR="00323E73">
        <w:t>ј</w:t>
      </w:r>
      <w:r w:rsidR="00BD6167">
        <w:t xml:space="preserve">е број регистрованих пољопривредника (за 380 лица) и број запослених у прерађивачкој индустрији (за </w:t>
      </w:r>
      <w:r w:rsidR="00045AAD">
        <w:t>220 лица</w:t>
      </w:r>
      <w:r w:rsidR="00BD6167">
        <w:t xml:space="preserve">), услед чега </w:t>
      </w:r>
      <w:r w:rsidR="00045AAD">
        <w:t>је учешће ове две делатности у укупној регистрованој запослености благо смањено. С друге стране, повећано је учешће грађевинарства и трговине, кој</w:t>
      </w:r>
      <w:r w:rsidR="006063AF">
        <w:t>е</w:t>
      </w:r>
      <w:r w:rsidR="00045AAD">
        <w:t xml:space="preserve"> бележ</w:t>
      </w:r>
      <w:r w:rsidR="00323E73">
        <w:t>и</w:t>
      </w:r>
      <w:r w:rsidR="00045AAD">
        <w:t xml:space="preserve"> повећање </w:t>
      </w:r>
      <w:r w:rsidR="006063AF">
        <w:t xml:space="preserve">броја </w:t>
      </w:r>
      <w:r w:rsidR="00045AAD">
        <w:t>запослен</w:t>
      </w:r>
      <w:r w:rsidR="006063AF">
        <w:t>их</w:t>
      </w:r>
      <w:r w:rsidR="00045AAD">
        <w:t xml:space="preserve">. </w:t>
      </w:r>
    </w:p>
    <w:p w14:paraId="7D42A0A6" w14:textId="220DFECA" w:rsidR="00055E5B" w:rsidRPr="00973D71" w:rsidRDefault="0047647B" w:rsidP="00775EEF">
      <w:pPr>
        <w:rPr>
          <w:sz w:val="4"/>
          <w:szCs w:val="4"/>
        </w:rPr>
      </w:pPr>
      <w:r w:rsidRPr="0047647B">
        <w:rPr>
          <w:sz w:val="4"/>
          <w:szCs w:val="4"/>
        </w:rPr>
        <w:t xml:space="preserve"> </w:t>
      </w:r>
      <w:r w:rsidR="0053471D" w:rsidRPr="0053471D">
        <w:rPr>
          <w:sz w:val="4"/>
          <w:szCs w:val="4"/>
        </w:rPr>
        <w:t xml:space="preserve"> </w:t>
      </w:r>
    </w:p>
    <w:p w14:paraId="49833855" w14:textId="3556A43E" w:rsidR="002B3DA2" w:rsidRDefault="003F492F" w:rsidP="00CC6C4E">
      <w:r w:rsidRPr="00CA51C2">
        <w:t>Уколико се посматра</w:t>
      </w:r>
      <w:r w:rsidR="00CA51C2" w:rsidRPr="00CA51C2">
        <w:t>ју</w:t>
      </w:r>
      <w:r w:rsidRPr="00CA51C2">
        <w:t xml:space="preserve"> </w:t>
      </w:r>
      <w:r>
        <w:rPr>
          <w:b/>
          <w:bCs/>
          <w:color w:val="2F5496"/>
        </w:rPr>
        <w:t>регистровани запослени кој</w:t>
      </w:r>
      <w:r w:rsidR="00CA51C2">
        <w:rPr>
          <w:b/>
          <w:bCs/>
          <w:color w:val="2F5496"/>
        </w:rPr>
        <w:t>и</w:t>
      </w:r>
      <w:r>
        <w:rPr>
          <w:b/>
          <w:bCs/>
          <w:color w:val="2F5496"/>
        </w:rPr>
        <w:t xml:space="preserve"> имају пребивалиште на територији општине Смедеревска Паланка, њихов број у 2021. години износи 12 219.</w:t>
      </w:r>
      <w:r w:rsidRPr="003F492F">
        <w:t xml:space="preserve"> </w:t>
      </w:r>
      <w:r w:rsidR="00E648DB">
        <w:t>Примећује се да је о</w:t>
      </w:r>
      <w:r w:rsidR="00182EAC">
        <w:t>вај показатељ значајно виши од броја регистрованих запослених који раде на територији Општине</w:t>
      </w:r>
      <w:r w:rsidR="00E648DB">
        <w:t xml:space="preserve">. Наведено одступање је карактеристично за већину локалних самоуправа у централној Србији, и последица је тога што одређен број запослених лица има пријављено пребивалиште у једној општини, али ради на територији друге општине. Другим речима, у питању су лица која живе у Смедеревској Паланци, али раде у Београду, Смедереву, или некој другој локалној самоуправи; али и лица која живе и раде у другом граду или општини, али имају пријављено пребивалиште у Смедеревској Паланци. У периоду 2017-2021. регистрована запосленост према месту пребивалишта је забележила повећање, и то за </w:t>
      </w:r>
      <w:r w:rsidR="00274A94">
        <w:t>око 7</w:t>
      </w:r>
      <w:r w:rsidR="00181EAE">
        <w:rPr>
          <w:lang w:val="sr-Latn-RS"/>
        </w:rPr>
        <w:t>40</w:t>
      </w:r>
      <w:r w:rsidR="00274A94">
        <w:t xml:space="preserve"> лица (6,4%).</w:t>
      </w:r>
    </w:p>
    <w:p w14:paraId="2F939B2C" w14:textId="60187589" w:rsidR="00274A94" w:rsidRDefault="000668FC" w:rsidP="00456F8B">
      <w:r>
        <w:rPr>
          <w:b/>
          <w:bCs/>
          <w:color w:val="2F5496"/>
        </w:rPr>
        <w:t>Жене чине 41,8% регистроване запослености</w:t>
      </w:r>
      <w:r w:rsidRPr="000668FC">
        <w:t xml:space="preserve"> </w:t>
      </w:r>
      <w:r>
        <w:t xml:space="preserve">према месту пребивалишта у 2021. години. У односу на национални просек, који износи 46,4%, </w:t>
      </w:r>
      <w:r w:rsidR="00A2371C">
        <w:t>заступљеност жена је релативно ниска; али је близу нивоа карактеристичног за Подунавску област (где жене чине 42,5% укупне регистроване запослености у 2021. години).</w:t>
      </w:r>
      <w:r w:rsidR="00456F8B">
        <w:t xml:space="preserve"> Ипак</w:t>
      </w:r>
      <w:r w:rsidR="00153301">
        <w:t>,</w:t>
      </w:r>
      <w:r w:rsidR="00456F8B">
        <w:t xml:space="preserve"> уочава се тенденција побољшања: </w:t>
      </w:r>
      <w:r w:rsidR="00A2371C">
        <w:t xml:space="preserve"> </w:t>
      </w:r>
      <w:r w:rsidR="00456F8B">
        <w:t>учешће жена у регистрованој запослености у Смедеревској Паланци у 2021. години било је за 2 процентна поена више него у 2017. години, захваљујући томе што је број запослених жена према месту пребивалишта порастао значајно више него број запослених мушкараца.</w:t>
      </w:r>
    </w:p>
    <w:p w14:paraId="256200E2" w14:textId="50F55454" w:rsidR="00153301" w:rsidRDefault="00153301" w:rsidP="00EF7A8C">
      <w:pPr>
        <w:spacing w:after="0"/>
        <w:rPr>
          <w:b/>
          <w:bCs/>
          <w:color w:val="2F5496"/>
        </w:rPr>
      </w:pPr>
      <w:r w:rsidRPr="00153301">
        <w:rPr>
          <w:b/>
          <w:bCs/>
          <w:color w:val="2F5496"/>
        </w:rPr>
        <w:t>Просечна нето зарада</w:t>
      </w:r>
      <w:r w:rsidRPr="00153301">
        <w:rPr>
          <w:color w:val="2F5496"/>
        </w:rPr>
        <w:t xml:space="preserve"> </w:t>
      </w:r>
      <w:r>
        <w:t xml:space="preserve">запослених који имају пребивалиште у Смедеревској Паланци у 2021. години износила је 53 700 динара. На Графикону 7 је илустровано како се просечна зарада константно повећавала током претходног петогодишњег периода, тако </w:t>
      </w:r>
      <w:r>
        <w:lastRenderedPageBreak/>
        <w:t xml:space="preserve">да је 2021. године била за </w:t>
      </w:r>
      <w:r w:rsidR="00CD2C23">
        <w:t>око</w:t>
      </w:r>
      <w:r>
        <w:t xml:space="preserve"> 11 </w:t>
      </w:r>
      <w:r w:rsidR="00E23F40">
        <w:t>4</w:t>
      </w:r>
      <w:r>
        <w:t>00 динара виша него 2018. године, што представља номинално повећање од 27%. Ипак, просечна зарада у Смедеревској Паланци је током читавог периода била нижа како од националног просека (за 15</w:t>
      </w:r>
      <w:r w:rsidR="00EF7A8C">
        <w:t>-18</w:t>
      </w:r>
      <w:r w:rsidR="00637779">
        <w:t>%</w:t>
      </w:r>
      <w:r>
        <w:t>), тако и од просечне зараде у Подунавској области (нижа за 8-</w:t>
      </w:r>
      <w:r w:rsidR="00637779">
        <w:t>9</w:t>
      </w:r>
      <w:r>
        <w:t xml:space="preserve">%). </w:t>
      </w:r>
    </w:p>
    <w:p w14:paraId="2985EEE1" w14:textId="73C8E384" w:rsidR="00B43074" w:rsidRPr="00853FFC" w:rsidRDefault="00EF7A8C" w:rsidP="00C020E8">
      <w:pPr>
        <w:rPr>
          <w:sz w:val="4"/>
          <w:szCs w:val="4"/>
        </w:rPr>
      </w:pPr>
      <w:r w:rsidRPr="002B3DA2">
        <w:rPr>
          <w:b/>
          <w:bCs/>
          <w:noProof/>
          <w:color w:val="2F5496"/>
          <w:sz w:val="4"/>
          <w:szCs w:val="4"/>
          <w:highlight w:val="lightGray"/>
          <w:lang w:val="en-US" w:eastAsia="en-US"/>
        </w:rPr>
        <mc:AlternateContent>
          <mc:Choice Requires="wps">
            <w:drawing>
              <wp:anchor distT="107950" distB="107950" distL="114300" distR="114300" simplePos="0" relativeHeight="251712512" behindDoc="0" locked="0" layoutInCell="1" allowOverlap="0" wp14:anchorId="7CCD36C3" wp14:editId="67BAC1C3">
                <wp:simplePos x="0" y="0"/>
                <wp:positionH relativeFrom="column">
                  <wp:posOffset>0</wp:posOffset>
                </wp:positionH>
                <wp:positionV relativeFrom="paragraph">
                  <wp:posOffset>191135</wp:posOffset>
                </wp:positionV>
                <wp:extent cx="5359400" cy="2832735"/>
                <wp:effectExtent l="0" t="0" r="0" b="6350"/>
                <wp:wrapTopAndBottom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283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ED8FD" w14:textId="77777777" w:rsidR="000B118B" w:rsidRDefault="000B118B" w:rsidP="00EF7A8C">
                            <w:pPr>
                              <w:pStyle w:val="Caption1"/>
                              <w:spacing w:after="0"/>
                              <w:jc w:val="center"/>
                            </w:pPr>
                            <w:r>
                              <w:t>Графикон 7. Просечна нето зарада у општини Смедеревска Паланка</w:t>
                            </w:r>
                          </w:p>
                          <w:p w14:paraId="521728B7" w14:textId="77777777" w:rsidR="000B118B" w:rsidRPr="006D76D0" w:rsidRDefault="000B118B" w:rsidP="00EF7A8C">
                            <w:pPr>
                              <w:pStyle w:val="Caption1"/>
                              <w:spacing w:after="0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 w:rsidRPr="006D76D0"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</w:p>
                          <w:p w14:paraId="5D81E745" w14:textId="77777777" w:rsidR="000B118B" w:rsidRDefault="000B118B" w:rsidP="00EF7A8C">
                            <w:pPr>
                              <w:pStyle w:val="Caption1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10D7D2DA" wp14:editId="42C0A6B9">
                                  <wp:extent cx="4206875" cy="2076450"/>
                                  <wp:effectExtent l="0" t="0" r="3175" b="0"/>
                                  <wp:docPr id="14" name="Chart 1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8C7619C8-F644-40A2-BB16-4B4665C085C7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22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922665" w14:textId="77777777" w:rsidR="000B118B" w:rsidRPr="00E35B2D" w:rsidRDefault="000B118B" w:rsidP="00EF7A8C">
                            <w:pPr>
                              <w:pStyle w:val="Caption1"/>
                              <w:spacing w:after="0"/>
                              <w:jc w:val="center"/>
                              <w:rPr>
                                <w:b w:val="0"/>
                                <w:bCs/>
                                <w:color w:val="auto"/>
                                <w:sz w:val="16"/>
                                <w:szCs w:val="18"/>
                              </w:rPr>
                            </w:pPr>
                            <w:r w:rsidRPr="00E35B2D">
                              <w:rPr>
                                <w:b w:val="0"/>
                                <w:bCs/>
                                <w:color w:val="auto"/>
                                <w:sz w:val="16"/>
                                <w:szCs w:val="18"/>
                              </w:rPr>
                              <w:t>Извор</w:t>
                            </w:r>
                            <w:r>
                              <w:rPr>
                                <w:b w:val="0"/>
                                <w:bCs/>
                                <w:color w:val="auto"/>
                                <w:sz w:val="16"/>
                                <w:szCs w:val="18"/>
                              </w:rPr>
                              <w:t xml:space="preserve"> података</w:t>
                            </w:r>
                            <w:r w:rsidRPr="00E35B2D">
                              <w:rPr>
                                <w:b w:val="0"/>
                                <w:bCs/>
                                <w:color w:val="auto"/>
                                <w:sz w:val="16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 w:val="0"/>
                                <w:bCs/>
                                <w:color w:val="auto"/>
                                <w:sz w:val="16"/>
                                <w:szCs w:val="18"/>
                              </w:rPr>
                              <w:t xml:space="preserve"> База података Републичког завода за статистику</w:t>
                            </w:r>
                          </w:p>
                        </w:txbxContent>
                      </wps:txbx>
                      <wps:bodyPr rot="0" vert="horz" wrap="square" lIns="72000" tIns="72000" rIns="72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D36C3" id="_x0000_s1032" type="#_x0000_t202" style="position:absolute;left:0;text-align:left;margin-left:0;margin-top:15.05pt;width:422pt;height:223.05pt;z-index:251712512;visibility:visible;mso-wrap-style:square;mso-width-percent:0;mso-height-percent:0;mso-wrap-distance-left:9pt;mso-wrap-distance-top:8.5pt;mso-wrap-distance-right:9pt;mso-wrap-distance-bottom:8.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ej7EAIAAP4DAAAOAAAAZHJzL2Uyb0RvYy54bWysU9tu2zAMfR+wfxD0vthJljQ14hRdugwD&#10;ugvQ7QMUWY6FyaJGKbG7ry8lu2m2vQ3Tg0CK1BF5eLS+6VvDTgq9Blvy6STnTFkJlbaHkn//tnuz&#10;4swHYSthwKqSPyrPbzavX607V6gZNGAqhYxArC86V/ImBFdkmZeNaoWfgFOWgjVgKwK5eMgqFB2h&#10;tyab5fky6wArhyCV93R6NwT5JuHXtZLhS117FZgpOdUW0o5p38c926xFcUDhGi3HMsQ/VNEKbenR&#10;M9SdCIIdUf8F1WqJ4KEOEwltBnWtpUo9UDfT/I9uHhrhVOqFyPHuTJP/f7Dy8+nBfUUW+nfQ0wBT&#10;E97dg/zhmYVtI+xB3SJC1yhR0cPTSFnWOV+MVyPVvvARZN99goqGLI4BElBfYxtZoT4ZodMAHs+k&#10;qz4wSYeL+eL6bU4hSbHZaj67mi/SG6J4vu7Qhw8KWhaNkiNNNcGL070PsRxRPKfE1zwYXe20McnB&#10;w35rkJ0EKWCX1oj+W5qxrCv59WK2SMgW4v0kjlYHUqjRbclXeVyDZiId722VUoLQZrCpEmNHfiIl&#10;Azmh3/dMVyVfxruRrj1Uj0QYwiBI+kBkNIC/OOtIjCX3P48CFWfmoyXSr0jqUb2XDl46++TMlylN&#10;WElQJQ+cDeY2JMUnOtwtDWenE20vlYwlk8gSm+OHiCq+9FPWy7fdPAEAAP//AwBQSwMEFAAGAAgA&#10;AAAhADPB0GrdAAAABwEAAA8AAABkcnMvZG93bnJldi54bWxMj8FOwzAQRO9I/IO1SNyo0xBKGrKp&#10;AIkDJ0SohHpzYzeJiNdR7Kbu37Oc6HFnRjNvy020g5jN5HtHCMtFAsJQ43RPLcL26+0uB+GDIq0G&#10;RwbhbDxsquurUhXanejTzHVoBZeQLxRCF8JYSOmbzljlF240xN7BTVYFPqdW6kmduNwOMk2SlbSq&#10;J17o1GheO9P81EeL8B1T35/r+L59mde5c7vDg6cPxNub+PwEIpgY/sPwh8/oUDHT3h1JezEg8CMB&#10;4T5ZgmA3zzIW9gjZ4yoFWZXykr/6BQAA//8DAFBLAQItABQABgAIAAAAIQC2gziS/gAAAOEBAAAT&#10;AAAAAAAAAAAAAAAAAAAAAABbQ29udGVudF9UeXBlc10ueG1sUEsBAi0AFAAGAAgAAAAhADj9If/W&#10;AAAAlAEAAAsAAAAAAAAAAAAAAAAALwEAAF9yZWxzLy5yZWxzUEsBAi0AFAAGAAgAAAAhAHfR6PsQ&#10;AgAA/gMAAA4AAAAAAAAAAAAAAAAALgIAAGRycy9lMm9Eb2MueG1sUEsBAi0AFAAGAAgAAAAhADPB&#10;0GrdAAAABwEAAA8AAAAAAAAAAAAAAAAAagQAAGRycy9kb3ducmV2LnhtbFBLBQYAAAAABAAEAPMA&#10;AAB0BQAAAAA=&#10;" o:allowoverlap="f" stroked="f">
                <v:textbox style="mso-fit-shape-to-text:t" inset="2mm,2mm,2mm,1mm">
                  <w:txbxContent>
                    <w:p w14:paraId="3C3ED8FD" w14:textId="77777777" w:rsidR="000B118B" w:rsidRDefault="000B118B" w:rsidP="00EF7A8C">
                      <w:pPr>
                        <w:pStyle w:val="Caption1"/>
                        <w:spacing w:after="0"/>
                        <w:jc w:val="center"/>
                      </w:pPr>
                      <w:r>
                        <w:t>Графикон 7. Просечна нето зарада у општини Смедеревска Паланка</w:t>
                      </w:r>
                    </w:p>
                    <w:p w14:paraId="521728B7" w14:textId="77777777" w:rsidR="000B118B" w:rsidRPr="006D76D0" w:rsidRDefault="000B118B" w:rsidP="00EF7A8C">
                      <w:pPr>
                        <w:pStyle w:val="Caption1"/>
                        <w:spacing w:after="0"/>
                        <w:jc w:val="center"/>
                        <w:rPr>
                          <w:sz w:val="4"/>
                          <w:szCs w:val="4"/>
                        </w:rPr>
                      </w:pPr>
                      <w:r w:rsidRPr="006D76D0">
                        <w:rPr>
                          <w:sz w:val="4"/>
                          <w:szCs w:val="4"/>
                        </w:rPr>
                        <w:t xml:space="preserve"> </w:t>
                      </w:r>
                    </w:p>
                    <w:p w14:paraId="5D81E745" w14:textId="77777777" w:rsidR="000B118B" w:rsidRDefault="000B118B" w:rsidP="00EF7A8C">
                      <w:pPr>
                        <w:pStyle w:val="Caption1"/>
                        <w:spacing w:after="0"/>
                        <w:jc w:val="center"/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10D7D2DA" wp14:editId="42C0A6B9">
                            <wp:extent cx="4206875" cy="2076450"/>
                            <wp:effectExtent l="0" t="0" r="3175" b="0"/>
                            <wp:docPr id="14" name="Chart 1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C7619C8-F644-40A2-BB16-4B4665C085C7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22"/>
                              </a:graphicData>
                            </a:graphic>
                          </wp:inline>
                        </w:drawing>
                      </w:r>
                    </w:p>
                    <w:p w14:paraId="5B922665" w14:textId="77777777" w:rsidR="000B118B" w:rsidRPr="00E35B2D" w:rsidRDefault="000B118B" w:rsidP="00EF7A8C">
                      <w:pPr>
                        <w:pStyle w:val="Caption1"/>
                        <w:spacing w:after="0"/>
                        <w:jc w:val="center"/>
                        <w:rPr>
                          <w:b w:val="0"/>
                          <w:bCs/>
                          <w:color w:val="auto"/>
                          <w:sz w:val="16"/>
                          <w:szCs w:val="18"/>
                        </w:rPr>
                      </w:pPr>
                      <w:r w:rsidRPr="00E35B2D">
                        <w:rPr>
                          <w:b w:val="0"/>
                          <w:bCs/>
                          <w:color w:val="auto"/>
                          <w:sz w:val="16"/>
                          <w:szCs w:val="18"/>
                        </w:rPr>
                        <w:t>Извор</w:t>
                      </w:r>
                      <w:r>
                        <w:rPr>
                          <w:b w:val="0"/>
                          <w:bCs/>
                          <w:color w:val="auto"/>
                          <w:sz w:val="16"/>
                          <w:szCs w:val="18"/>
                        </w:rPr>
                        <w:t xml:space="preserve"> података</w:t>
                      </w:r>
                      <w:r w:rsidRPr="00E35B2D">
                        <w:rPr>
                          <w:b w:val="0"/>
                          <w:bCs/>
                          <w:color w:val="auto"/>
                          <w:sz w:val="16"/>
                          <w:szCs w:val="18"/>
                        </w:rPr>
                        <w:t>:</w:t>
                      </w:r>
                      <w:r>
                        <w:rPr>
                          <w:b w:val="0"/>
                          <w:bCs/>
                          <w:color w:val="auto"/>
                          <w:sz w:val="16"/>
                          <w:szCs w:val="18"/>
                        </w:rPr>
                        <w:t xml:space="preserve"> База података Републичког завода за статистику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B596F">
        <w:t xml:space="preserve"> </w:t>
      </w:r>
      <w:r w:rsidR="00853FFC" w:rsidRPr="00853FFC">
        <w:rPr>
          <w:sz w:val="4"/>
          <w:szCs w:val="4"/>
        </w:rPr>
        <w:t xml:space="preserve"> </w:t>
      </w:r>
    </w:p>
    <w:p w14:paraId="572F41FB" w14:textId="61D0697F" w:rsidR="002B3DA2" w:rsidRDefault="00EF7A8C" w:rsidP="003E02C1">
      <w:pPr>
        <w:rPr>
          <w:b/>
          <w:bCs/>
          <w:color w:val="2F5496"/>
        </w:rPr>
      </w:pPr>
      <w:r>
        <w:rPr>
          <w:b/>
          <w:bCs/>
          <w:color w:val="2F5496"/>
        </w:rPr>
        <w:t xml:space="preserve">Број незапослених лица која се налазе на евиденцији Националне службе за </w:t>
      </w:r>
      <w:r w:rsidRPr="00EF7A8C">
        <w:rPr>
          <w:b/>
          <w:bCs/>
          <w:color w:val="2F5496"/>
        </w:rPr>
        <w:t>запошљавање</w:t>
      </w:r>
      <w:r w:rsidRPr="00EF7A8C">
        <w:rPr>
          <w:rStyle w:val="FootnoteReference"/>
        </w:rPr>
        <w:footnoteReference w:id="25"/>
      </w:r>
      <w:r>
        <w:rPr>
          <w:b/>
          <w:bCs/>
          <w:color w:val="2F5496"/>
        </w:rPr>
        <w:t xml:space="preserve"> је смањен у току претходних пет година</w:t>
      </w:r>
      <w:r w:rsidRPr="00EF7A8C">
        <w:t>.</w:t>
      </w:r>
      <w:r w:rsidR="00402EAA">
        <w:t xml:space="preserve"> На крају 2021. године на територији општине Смедеревска Паланка било је евидентирано укупно 2 </w:t>
      </w:r>
      <w:r w:rsidR="00E23F40">
        <w:t>986</w:t>
      </w:r>
      <w:r w:rsidR="00402EAA">
        <w:t xml:space="preserve"> незапослених лица, што је за око 650, односно за 18%, ниже у односу на 2017. годину. Оваква тенденција је једним делом у вези са претходно описаним повећањем регистроване запослености према месту пребивалишта</w:t>
      </w:r>
      <w:r w:rsidR="00402EAA" w:rsidRPr="00402EAA">
        <w:rPr>
          <w:rStyle w:val="FootnoteReference"/>
        </w:rPr>
        <w:footnoteReference w:id="26"/>
      </w:r>
      <w:r w:rsidR="00402EAA" w:rsidRPr="00402EAA">
        <w:t>.</w:t>
      </w:r>
      <w:r w:rsidR="00402EAA">
        <w:t xml:space="preserve"> </w:t>
      </w:r>
    </w:p>
    <w:p w14:paraId="332D1265" w14:textId="3D268D8A" w:rsidR="00870FC3" w:rsidRDefault="00E30FAD" w:rsidP="00E30FAD">
      <w:pPr>
        <w:pStyle w:val="Heading3"/>
      </w:pPr>
      <w:r>
        <w:t>Т</w:t>
      </w:r>
      <w:r w:rsidR="00870FC3">
        <w:t>уриз</w:t>
      </w:r>
      <w:r>
        <w:t>а</w:t>
      </w:r>
      <w:r w:rsidR="00870FC3">
        <w:t>м</w:t>
      </w:r>
    </w:p>
    <w:p w14:paraId="3D2A73E6" w14:textId="46B520B5" w:rsidR="002B3DA2" w:rsidRDefault="0036400D" w:rsidP="00CC6C4E">
      <w:pPr>
        <w:rPr>
          <w:lang w:eastAsia="en-US"/>
        </w:rPr>
      </w:pPr>
      <w:r>
        <w:rPr>
          <w:b/>
          <w:bCs/>
          <w:color w:val="2F5496"/>
          <w:lang w:eastAsia="en-US"/>
        </w:rPr>
        <w:t xml:space="preserve">Смедеревска Паланка поседује потенцијале за развој појединих врста туризма, али </w:t>
      </w:r>
      <w:r w:rsidR="00731FF2">
        <w:rPr>
          <w:b/>
          <w:bCs/>
          <w:color w:val="2F5496"/>
          <w:lang w:eastAsia="en-US"/>
        </w:rPr>
        <w:t xml:space="preserve">тренутно </w:t>
      </w:r>
      <w:r>
        <w:rPr>
          <w:b/>
          <w:bCs/>
          <w:color w:val="2F5496"/>
          <w:lang w:eastAsia="en-US"/>
        </w:rPr>
        <w:t xml:space="preserve">туризам </w:t>
      </w:r>
      <w:r w:rsidR="00731FF2">
        <w:rPr>
          <w:b/>
          <w:bCs/>
          <w:color w:val="2F5496"/>
          <w:lang w:eastAsia="en-US"/>
        </w:rPr>
        <w:t xml:space="preserve">је </w:t>
      </w:r>
      <w:r>
        <w:rPr>
          <w:b/>
          <w:bCs/>
          <w:color w:val="2F5496"/>
          <w:lang w:eastAsia="en-US"/>
        </w:rPr>
        <w:t>врло неразвијен</w:t>
      </w:r>
      <w:r w:rsidRPr="00731FF2">
        <w:rPr>
          <w:lang w:eastAsia="en-US"/>
        </w:rPr>
        <w:t>.</w:t>
      </w:r>
      <w:r w:rsidR="00731FF2">
        <w:rPr>
          <w:lang w:eastAsia="en-US"/>
        </w:rPr>
        <w:t xml:space="preserve"> </w:t>
      </w:r>
      <w:r w:rsidR="00565BE9">
        <w:rPr>
          <w:lang w:eastAsia="en-US"/>
        </w:rPr>
        <w:t>У периоду 2017-2020. године туристички промет је био занемарљив: највећи промет је остварен у 2017. години, када је регистровано свега око 250 туриста и 1 600 ноћења, а</w:t>
      </w:r>
      <w:r w:rsidR="00AC1846">
        <w:rPr>
          <w:lang w:eastAsia="en-US"/>
        </w:rPr>
        <w:t xml:space="preserve"> </w:t>
      </w:r>
      <w:r w:rsidR="00565BE9">
        <w:rPr>
          <w:lang w:eastAsia="en-US"/>
        </w:rPr>
        <w:t>у периоду до 2020. показатељи су још лошији.</w:t>
      </w:r>
      <w:r w:rsidR="00AC1846">
        <w:rPr>
          <w:lang w:eastAsia="en-US"/>
        </w:rPr>
        <w:t xml:space="preserve"> </w:t>
      </w:r>
    </w:p>
    <w:p w14:paraId="2DB4A296" w14:textId="6D0E4280" w:rsidR="00AC1846" w:rsidRDefault="00FB5393" w:rsidP="00CC6C4E">
      <w:pPr>
        <w:rPr>
          <w:lang w:eastAsia="en-US"/>
        </w:rPr>
      </w:pPr>
      <w:r>
        <w:rPr>
          <w:lang w:eastAsia="en-US"/>
        </w:rPr>
        <w:t xml:space="preserve">Потенцијал за развој туризма превасходно се односи на </w:t>
      </w:r>
      <w:r w:rsidRPr="00FB5393">
        <w:rPr>
          <w:b/>
          <w:bCs/>
          <w:color w:val="2F5496"/>
          <w:lang w:eastAsia="en-US"/>
        </w:rPr>
        <w:t>здравствени туризам</w:t>
      </w:r>
      <w:r>
        <w:rPr>
          <w:lang w:eastAsia="en-US"/>
        </w:rPr>
        <w:t xml:space="preserve">, јер је у Смедеревској Паланци смештена </w:t>
      </w:r>
      <w:r w:rsidRPr="00FB5393">
        <w:rPr>
          <w:color w:val="2F5496"/>
          <w:lang w:eastAsia="en-US"/>
        </w:rPr>
        <w:t>Бања Паланачки Кисељак</w:t>
      </w:r>
      <w:r>
        <w:rPr>
          <w:lang w:eastAsia="en-US"/>
        </w:rPr>
        <w:t xml:space="preserve">. </w:t>
      </w:r>
      <w:r w:rsidR="006B13D5">
        <w:rPr>
          <w:lang w:eastAsia="en-US"/>
        </w:rPr>
        <w:t xml:space="preserve">У Бањи постоје четири извора минералне воде, од којих су неки термални извори, и лековита својства воде помажу у лечењу реуматизма, посттрауматских стања и деформитета, дијабетеса, кардиоваскуларних, дигестивних и других обољења. </w:t>
      </w:r>
    </w:p>
    <w:p w14:paraId="571A125F" w14:textId="6EB10E0D" w:rsidR="003D3F52" w:rsidRDefault="003D3F52" w:rsidP="00CC6C4E">
      <w:pPr>
        <w:rPr>
          <w:lang w:eastAsia="en-US"/>
        </w:rPr>
      </w:pPr>
      <w:r>
        <w:rPr>
          <w:lang w:eastAsia="en-US"/>
        </w:rPr>
        <w:lastRenderedPageBreak/>
        <w:t xml:space="preserve">Други </w:t>
      </w:r>
      <w:r w:rsidRPr="00D65205">
        <w:rPr>
          <w:b/>
          <w:bCs/>
          <w:color w:val="2F5496"/>
          <w:lang w:eastAsia="en-US"/>
        </w:rPr>
        <w:t>природни фактори</w:t>
      </w:r>
      <w:r>
        <w:rPr>
          <w:lang w:eastAsia="en-US"/>
        </w:rPr>
        <w:t xml:space="preserve"> који имају потенцијал да привуку туристе су Кудречко језеро, које је </w:t>
      </w:r>
      <w:r w:rsidR="0043257C">
        <w:rPr>
          <w:lang w:eastAsia="en-US"/>
        </w:rPr>
        <w:t xml:space="preserve">популарно међу риболовцима, а </w:t>
      </w:r>
      <w:r>
        <w:rPr>
          <w:lang w:eastAsia="en-US"/>
        </w:rPr>
        <w:t xml:space="preserve">погодно </w:t>
      </w:r>
      <w:r w:rsidR="0043257C">
        <w:rPr>
          <w:lang w:eastAsia="en-US"/>
        </w:rPr>
        <w:t xml:space="preserve">је и </w:t>
      </w:r>
      <w:r>
        <w:rPr>
          <w:lang w:eastAsia="en-US"/>
        </w:rPr>
        <w:t xml:space="preserve">за спортско-рекреативне активности, </w:t>
      </w:r>
      <w:r w:rsidR="00FD02A4">
        <w:rPr>
          <w:lang w:eastAsia="en-US"/>
        </w:rPr>
        <w:t xml:space="preserve">као и </w:t>
      </w:r>
      <w:r w:rsidR="006D05FA">
        <w:rPr>
          <w:lang w:eastAsia="en-US"/>
        </w:rPr>
        <w:t xml:space="preserve">шумски комплекс „Микуља“, погодан за излетничке и рекреативне активности, као и за лов у оквиру </w:t>
      </w:r>
      <w:r w:rsidR="00FD02A4">
        <w:rPr>
          <w:lang w:eastAsia="en-US"/>
        </w:rPr>
        <w:t>резерват</w:t>
      </w:r>
      <w:r w:rsidR="006D05FA">
        <w:rPr>
          <w:lang w:eastAsia="en-US"/>
        </w:rPr>
        <w:t>а</w:t>
      </w:r>
      <w:r w:rsidR="00FD02A4">
        <w:rPr>
          <w:lang w:eastAsia="en-US"/>
        </w:rPr>
        <w:t xml:space="preserve"> Јасеница</w:t>
      </w:r>
      <w:r w:rsidR="006D05FA">
        <w:rPr>
          <w:lang w:eastAsia="en-US"/>
        </w:rPr>
        <w:t>–</w:t>
      </w:r>
      <w:r w:rsidR="00FD02A4">
        <w:rPr>
          <w:lang w:eastAsia="en-US"/>
        </w:rPr>
        <w:t xml:space="preserve">Луг. </w:t>
      </w:r>
    </w:p>
    <w:p w14:paraId="6D5507D1" w14:textId="0A00CACF" w:rsidR="008C3339" w:rsidRDefault="00316214" w:rsidP="00FD02A4">
      <w:pPr>
        <w:rPr>
          <w:lang w:eastAsia="en-US"/>
        </w:rPr>
      </w:pPr>
      <w:r>
        <w:rPr>
          <w:lang w:eastAsia="en-US"/>
        </w:rPr>
        <w:t xml:space="preserve">Када је реч о </w:t>
      </w:r>
      <w:r w:rsidRPr="00316214">
        <w:rPr>
          <w:b/>
          <w:bCs/>
          <w:color w:val="2F5496"/>
          <w:lang w:eastAsia="en-US"/>
        </w:rPr>
        <w:t>антропогеним факторима</w:t>
      </w:r>
      <w:r>
        <w:rPr>
          <w:lang w:eastAsia="en-US"/>
        </w:rPr>
        <w:t>, на територији Општине се налаз</w:t>
      </w:r>
      <w:r w:rsidR="00B92596">
        <w:rPr>
          <w:lang w:eastAsia="en-US"/>
        </w:rPr>
        <w:t xml:space="preserve">и неколико </w:t>
      </w:r>
      <w:r w:rsidR="00B92596" w:rsidRPr="007E5EC0">
        <w:rPr>
          <w:color w:val="2F5496"/>
          <w:lang w:eastAsia="en-US"/>
        </w:rPr>
        <w:t>објеката који су под заштитом државе</w:t>
      </w:r>
      <w:r w:rsidR="00B92596">
        <w:rPr>
          <w:rStyle w:val="FootnoteReference"/>
          <w:lang w:eastAsia="en-US"/>
        </w:rPr>
        <w:footnoteReference w:id="27"/>
      </w:r>
      <w:r w:rsidR="00B92596">
        <w:rPr>
          <w:lang w:eastAsia="en-US"/>
        </w:rPr>
        <w:t>. Пре свега, то су</w:t>
      </w:r>
      <w:r>
        <w:rPr>
          <w:lang w:eastAsia="en-US"/>
        </w:rPr>
        <w:t xml:space="preserve"> </w:t>
      </w:r>
      <w:r w:rsidR="00AE4DAF">
        <w:rPr>
          <w:lang w:eastAsia="en-US"/>
        </w:rPr>
        <w:t xml:space="preserve">цркве брвнаре </w:t>
      </w:r>
      <w:r>
        <w:rPr>
          <w:lang w:eastAsia="en-US"/>
        </w:rPr>
        <w:t xml:space="preserve">(једна у Смедеревској Паланци, а друга у </w:t>
      </w:r>
      <w:r w:rsidR="00B92596">
        <w:rPr>
          <w:lang w:eastAsia="en-US"/>
        </w:rPr>
        <w:t>селу Селевац</w:t>
      </w:r>
      <w:r>
        <w:rPr>
          <w:lang w:eastAsia="en-US"/>
        </w:rPr>
        <w:t>)</w:t>
      </w:r>
      <w:r w:rsidR="00B92596">
        <w:rPr>
          <w:lang w:eastAsia="en-US"/>
        </w:rPr>
        <w:t>, које су сврстан</w:t>
      </w:r>
      <w:r w:rsidR="00576F23">
        <w:rPr>
          <w:lang w:eastAsia="en-US"/>
        </w:rPr>
        <w:t>е</w:t>
      </w:r>
      <w:r w:rsidR="00B92596">
        <w:rPr>
          <w:lang w:eastAsia="en-US"/>
        </w:rPr>
        <w:t xml:space="preserve"> у национална културна добра од великог значаја. </w:t>
      </w:r>
      <w:r w:rsidR="00576F23">
        <w:rPr>
          <w:lang w:eastAsia="en-US"/>
        </w:rPr>
        <w:t>Ту је и неколико других споменика културе, попут зграда Гимназије и Народног музеја, куће брвнаре у Голобоку, споменика Станоју Главашу и др.</w:t>
      </w:r>
      <w:r>
        <w:rPr>
          <w:lang w:eastAsia="en-US"/>
        </w:rPr>
        <w:t xml:space="preserve"> </w:t>
      </w:r>
      <w:r w:rsidR="00576F23">
        <w:rPr>
          <w:lang w:eastAsia="en-US"/>
        </w:rPr>
        <w:t xml:space="preserve">У Општини се одржавају и </w:t>
      </w:r>
      <w:r w:rsidR="00FD02A4">
        <w:rPr>
          <w:lang w:eastAsia="en-US"/>
        </w:rPr>
        <w:t xml:space="preserve">различите </w:t>
      </w:r>
      <w:r w:rsidR="00FD02A4" w:rsidRPr="00316214">
        <w:rPr>
          <w:color w:val="2F5496"/>
          <w:lang w:eastAsia="en-US"/>
        </w:rPr>
        <w:t>манифестације</w:t>
      </w:r>
      <w:r w:rsidR="00576F23" w:rsidRPr="00576F23">
        <w:rPr>
          <w:lang w:eastAsia="en-US"/>
        </w:rPr>
        <w:t>,</w:t>
      </w:r>
      <w:r w:rsidR="00FD02A4" w:rsidRPr="00D65205">
        <w:rPr>
          <w:color w:val="2F5496"/>
          <w:lang w:eastAsia="en-US"/>
        </w:rPr>
        <w:t xml:space="preserve"> </w:t>
      </w:r>
      <w:r w:rsidR="00FD02A4">
        <w:rPr>
          <w:lang w:eastAsia="en-US"/>
        </w:rPr>
        <w:t xml:space="preserve">које такође могу привући одређене категорије туриста. </w:t>
      </w:r>
      <w:r w:rsidR="003A258F">
        <w:rPr>
          <w:lang w:eastAsia="en-US"/>
        </w:rPr>
        <w:t xml:space="preserve">Треба поменути пре свега чувени Крстовдански панђур, један од највећих вашара у Србији, који сваке године окупља посетиоце из </w:t>
      </w:r>
      <w:r w:rsidR="008C3339">
        <w:rPr>
          <w:lang w:eastAsia="en-US"/>
        </w:rPr>
        <w:t>шире околине Паланке; ту су и фестивал фолклора „Јасеничко прело“ и етно-гастрономски догађај „Дани азањске погаче“ у селу Азањи, „Дани Станоја Главаша“ у селу Глибовцу и др.</w:t>
      </w:r>
    </w:p>
    <w:p w14:paraId="62DBB9CC" w14:textId="77777777" w:rsidR="00635A8A" w:rsidRDefault="0043257C" w:rsidP="00FD02A4">
      <w:pPr>
        <w:rPr>
          <w:lang w:eastAsia="en-US"/>
        </w:rPr>
      </w:pPr>
      <w:r w:rsidRPr="0043257C">
        <w:rPr>
          <w:lang w:eastAsia="en-US"/>
        </w:rPr>
        <w:t xml:space="preserve">Наведени потенцијали, за сада, нису адекватно искоришћени. </w:t>
      </w:r>
      <w:r w:rsidR="00336DAB" w:rsidRPr="00336DAB">
        <w:rPr>
          <w:b/>
          <w:bCs/>
          <w:color w:val="2F5496"/>
          <w:lang w:eastAsia="en-US"/>
        </w:rPr>
        <w:t>Смештајн</w:t>
      </w:r>
      <w:r w:rsidR="00336DAB">
        <w:rPr>
          <w:b/>
          <w:bCs/>
          <w:color w:val="2F5496"/>
          <w:lang w:eastAsia="en-US"/>
        </w:rPr>
        <w:t>и капацитети су оскудни и неадекватни</w:t>
      </w:r>
      <w:r w:rsidR="00336DAB">
        <w:rPr>
          <w:lang w:eastAsia="en-US"/>
        </w:rPr>
        <w:t>. Т</w:t>
      </w:r>
      <w:r w:rsidRPr="0043257C">
        <w:rPr>
          <w:lang w:eastAsia="en-US"/>
        </w:rPr>
        <w:t>ренутно не постоји ниједан категорисани хотел или мотел</w:t>
      </w:r>
      <w:r w:rsidR="00336DAB" w:rsidRPr="00AC1286">
        <w:rPr>
          <w:rStyle w:val="FootnoteReference"/>
          <w:lang w:eastAsia="en-US"/>
        </w:rPr>
        <w:footnoteReference w:id="28"/>
      </w:r>
      <w:r w:rsidR="00336DAB">
        <w:rPr>
          <w:lang w:eastAsia="en-US"/>
        </w:rPr>
        <w:t xml:space="preserve">, </w:t>
      </w:r>
      <w:r w:rsidR="00D05538">
        <w:rPr>
          <w:lang w:eastAsia="en-US"/>
        </w:rPr>
        <w:t xml:space="preserve">а један од проблема за бољу експлоатацију ресурса Бање Паланачки Кисељак јесте то што </w:t>
      </w:r>
      <w:r w:rsidR="00A33A3D">
        <w:rPr>
          <w:lang w:eastAsia="en-US"/>
        </w:rPr>
        <w:t xml:space="preserve">Гоша, која је постојећи власник </w:t>
      </w:r>
      <w:r w:rsidR="00D05538">
        <w:rPr>
          <w:lang w:eastAsia="en-US"/>
        </w:rPr>
        <w:t>хотел</w:t>
      </w:r>
      <w:r w:rsidR="00A33A3D">
        <w:rPr>
          <w:lang w:eastAsia="en-US"/>
        </w:rPr>
        <w:t>а</w:t>
      </w:r>
      <w:r w:rsidR="00D05538">
        <w:rPr>
          <w:lang w:eastAsia="en-US"/>
        </w:rPr>
        <w:t xml:space="preserve"> „Кисељак“, </w:t>
      </w:r>
      <w:r w:rsidR="00A33A3D">
        <w:rPr>
          <w:lang w:eastAsia="en-US"/>
        </w:rPr>
        <w:t xml:space="preserve">није заинтересована за пословање, те га је нудила на продају. </w:t>
      </w:r>
    </w:p>
    <w:p w14:paraId="61779C48" w14:textId="5FF51F7F" w:rsidR="00AC1286" w:rsidRDefault="00336DAB" w:rsidP="00A201D1">
      <w:pPr>
        <w:rPr>
          <w:lang w:eastAsia="en-US"/>
        </w:rPr>
      </w:pPr>
      <w:r w:rsidRPr="00336DAB">
        <w:rPr>
          <w:lang w:eastAsia="en-US"/>
        </w:rPr>
        <w:t>Услед оваквих кретања,</w:t>
      </w:r>
      <w:r w:rsidRPr="00336DAB">
        <w:rPr>
          <w:b/>
          <w:bCs/>
          <w:lang w:eastAsia="en-US"/>
        </w:rPr>
        <w:t xml:space="preserve"> </w:t>
      </w:r>
      <w:r>
        <w:rPr>
          <w:b/>
          <w:bCs/>
          <w:color w:val="2F5496"/>
          <w:lang w:eastAsia="en-US"/>
        </w:rPr>
        <w:t>р</w:t>
      </w:r>
      <w:r w:rsidR="00AC1286" w:rsidRPr="006C6860">
        <w:rPr>
          <w:b/>
          <w:bCs/>
          <w:color w:val="2F5496"/>
          <w:lang w:eastAsia="en-US"/>
        </w:rPr>
        <w:t>егистрована запосленост у угоститељству је нижа од националног просека</w:t>
      </w:r>
      <w:r w:rsidR="00AC1286">
        <w:rPr>
          <w:lang w:eastAsia="en-US"/>
        </w:rPr>
        <w:t xml:space="preserve">. Наиме, у 2021. години у угоститељству је на територији општине Смедеревска Паланка било 200 регистрованих запослених лица, односно удео у укупној регистрованој запослености је износио 2,3%. То је нешто ниже од просека Подунавске области </w:t>
      </w:r>
      <w:r w:rsidR="006C6860">
        <w:rPr>
          <w:lang w:eastAsia="en-US"/>
        </w:rPr>
        <w:t xml:space="preserve">(где удео угоститељства у регистрованој запослености износи 2,6%) и приметно ниже од националног просека (који износи 3,8%). </w:t>
      </w:r>
      <w:r w:rsidR="006C6860" w:rsidRPr="00BC0C14">
        <w:rPr>
          <w:lang w:eastAsia="en-US"/>
        </w:rPr>
        <w:t>Ипак, уочава се незнатно повећање регистроване запослености у угоститељству током претходних пет година, тако да је њихов број у 2021. био за 25</w:t>
      </w:r>
      <w:r w:rsidR="00BC0C14" w:rsidRPr="00BC0C14">
        <w:rPr>
          <w:lang w:eastAsia="en-US"/>
        </w:rPr>
        <w:t xml:space="preserve"> лица</w:t>
      </w:r>
      <w:r w:rsidR="006C6860" w:rsidRPr="00BC0C14">
        <w:rPr>
          <w:lang w:eastAsia="en-US"/>
        </w:rPr>
        <w:t xml:space="preserve"> виши у односу на 2017. годину.</w:t>
      </w:r>
      <w:r w:rsidR="00BC0C14" w:rsidRPr="00BC0C14">
        <w:rPr>
          <w:rStyle w:val="FootnoteReference"/>
          <w:lang w:eastAsia="en-US"/>
        </w:rPr>
        <w:footnoteReference w:id="29"/>
      </w:r>
      <w:r w:rsidR="006C6860">
        <w:rPr>
          <w:lang w:eastAsia="en-US"/>
        </w:rPr>
        <w:t xml:space="preserve"> </w:t>
      </w:r>
    </w:p>
    <w:sectPr w:rsidR="00AC1286" w:rsidSect="002C486A">
      <w:footerReference w:type="even" r:id="rId23"/>
      <w:footerReference w:type="default" r:id="rId24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74BD4" w14:textId="77777777" w:rsidR="003476D3" w:rsidRDefault="003476D3" w:rsidP="003E02C1">
      <w:r>
        <w:separator/>
      </w:r>
    </w:p>
  </w:endnote>
  <w:endnote w:type="continuationSeparator" w:id="0">
    <w:p w14:paraId="54A3783E" w14:textId="77777777" w:rsidR="003476D3" w:rsidRDefault="003476D3" w:rsidP="003E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473752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3B88A0" w14:textId="350D7DFF" w:rsidR="000B118B" w:rsidRDefault="000B118B" w:rsidP="003E02C1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4EF544F4" w14:textId="77777777" w:rsidR="000B118B" w:rsidRDefault="000B118B" w:rsidP="003E02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78824774"/>
      <w:docPartObj>
        <w:docPartGallery w:val="Page Numbers (Bottom of Page)"/>
        <w:docPartUnique/>
      </w:docPartObj>
    </w:sdtPr>
    <w:sdtEndPr>
      <w:rPr>
        <w:rStyle w:val="PageNumber"/>
        <w:rFonts w:ascii="Tahoma" w:hAnsi="Tahoma" w:cs="Tahoma"/>
        <w:b/>
        <w:bCs/>
        <w:color w:val="1F3864" w:themeColor="accent1" w:themeShade="80"/>
        <w:sz w:val="20"/>
        <w:szCs w:val="20"/>
      </w:rPr>
    </w:sdtEndPr>
    <w:sdtContent>
      <w:p w14:paraId="22F09FB0" w14:textId="6112598F" w:rsidR="000B118B" w:rsidRPr="003A1BEA" w:rsidRDefault="000B118B" w:rsidP="003E02C1">
        <w:pPr>
          <w:pStyle w:val="Footer"/>
          <w:rPr>
            <w:rStyle w:val="PageNumber"/>
            <w:rFonts w:ascii="Tahoma" w:hAnsi="Tahoma" w:cs="Tahoma"/>
            <w:b/>
            <w:bCs/>
            <w:color w:val="1F3864" w:themeColor="accent1" w:themeShade="80"/>
            <w:sz w:val="20"/>
            <w:szCs w:val="20"/>
          </w:rPr>
        </w:pPr>
        <w:r w:rsidRPr="003A1BEA">
          <w:rPr>
            <w:rStyle w:val="PageNumber"/>
            <w:rFonts w:ascii="Tahoma" w:hAnsi="Tahoma" w:cs="Tahoma"/>
            <w:b/>
            <w:bCs/>
            <w:color w:val="1F3864" w:themeColor="accent1" w:themeShade="80"/>
            <w:sz w:val="20"/>
            <w:szCs w:val="20"/>
          </w:rPr>
          <w:fldChar w:fldCharType="begin"/>
        </w:r>
        <w:r w:rsidRPr="003A1BEA">
          <w:rPr>
            <w:rStyle w:val="PageNumber"/>
            <w:rFonts w:ascii="Tahoma" w:hAnsi="Tahoma" w:cs="Tahoma"/>
            <w:b/>
            <w:bCs/>
            <w:color w:val="1F3864" w:themeColor="accent1" w:themeShade="80"/>
            <w:sz w:val="20"/>
            <w:szCs w:val="20"/>
          </w:rPr>
          <w:instrText xml:space="preserve"> PAGE </w:instrText>
        </w:r>
        <w:r w:rsidRPr="003A1BEA">
          <w:rPr>
            <w:rStyle w:val="PageNumber"/>
            <w:rFonts w:ascii="Tahoma" w:hAnsi="Tahoma" w:cs="Tahoma"/>
            <w:b/>
            <w:bCs/>
            <w:color w:val="1F3864" w:themeColor="accent1" w:themeShade="80"/>
            <w:sz w:val="20"/>
            <w:szCs w:val="20"/>
          </w:rPr>
          <w:fldChar w:fldCharType="separate"/>
        </w:r>
        <w:r w:rsidR="0038660E">
          <w:rPr>
            <w:rStyle w:val="PageNumber"/>
            <w:rFonts w:ascii="Tahoma" w:hAnsi="Tahoma" w:cs="Tahoma"/>
            <w:b/>
            <w:bCs/>
            <w:noProof/>
            <w:color w:val="1F3864" w:themeColor="accent1" w:themeShade="80"/>
            <w:sz w:val="20"/>
            <w:szCs w:val="20"/>
          </w:rPr>
          <w:t>8</w:t>
        </w:r>
        <w:r w:rsidRPr="003A1BEA">
          <w:rPr>
            <w:rStyle w:val="PageNumber"/>
            <w:rFonts w:ascii="Tahoma" w:hAnsi="Tahoma" w:cs="Tahoma"/>
            <w:b/>
            <w:bCs/>
            <w:color w:val="1F3864" w:themeColor="accent1" w:themeShade="80"/>
            <w:sz w:val="20"/>
            <w:szCs w:val="20"/>
          </w:rPr>
          <w:fldChar w:fldCharType="end"/>
        </w:r>
      </w:p>
    </w:sdtContent>
  </w:sdt>
  <w:p w14:paraId="7F6F98A0" w14:textId="77777777" w:rsidR="000B118B" w:rsidRPr="003A1BEA" w:rsidRDefault="000B118B" w:rsidP="003E0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631E6" w14:textId="77777777" w:rsidR="003476D3" w:rsidRDefault="003476D3" w:rsidP="003E02C1">
      <w:r>
        <w:separator/>
      </w:r>
    </w:p>
  </w:footnote>
  <w:footnote w:type="continuationSeparator" w:id="0">
    <w:p w14:paraId="1D97FB96" w14:textId="77777777" w:rsidR="003476D3" w:rsidRDefault="003476D3" w:rsidP="003E02C1">
      <w:r>
        <w:continuationSeparator/>
      </w:r>
    </w:p>
  </w:footnote>
  <w:footnote w:id="1">
    <w:p w14:paraId="7E339E9A" w14:textId="5AA24A23" w:rsidR="000B118B" w:rsidRDefault="000B118B">
      <w:pPr>
        <w:pStyle w:val="FootnoteText"/>
      </w:pPr>
      <w:r>
        <w:rPr>
          <w:rStyle w:val="FootnoteReference"/>
        </w:rPr>
        <w:footnoteRef/>
      </w:r>
      <w:r>
        <w:t xml:space="preserve"> Извор: Правилник о унутрашњој организацији и систематизацији радних места у Општинској управи и Општинском правобранилаштву општине Смедеревска Паланка, Међуопштински сл. лист општина В. Плана и С. Паланка бр. 13/19</w:t>
      </w:r>
      <w:r>
        <w:rPr>
          <w:lang w:val="en-GB"/>
        </w:rPr>
        <w:t>,</w:t>
      </w:r>
      <w:r>
        <w:t xml:space="preserve"> 30/19</w:t>
      </w:r>
      <w:r>
        <w:rPr>
          <w:lang w:val="en-GB"/>
        </w:rPr>
        <w:t xml:space="preserve"> </w:t>
      </w:r>
      <w:r>
        <w:t>и</w:t>
      </w:r>
      <w:r>
        <w:rPr>
          <w:lang w:val="en-GB"/>
        </w:rPr>
        <w:t xml:space="preserve"> 2/2020</w:t>
      </w:r>
      <w:r>
        <w:t xml:space="preserve">. </w:t>
      </w:r>
    </w:p>
  </w:footnote>
  <w:footnote w:id="2">
    <w:p w14:paraId="314749B9" w14:textId="6A833027" w:rsidR="007A4DCD" w:rsidRDefault="007A4DC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A4DCD">
        <w:t>Одлу</w:t>
      </w:r>
      <w:r>
        <w:t>ка</w:t>
      </w:r>
      <w:r w:rsidRPr="007A4DCD">
        <w:t xml:space="preserve"> о унутрашњој организацији и систематизацији радних места</w:t>
      </w:r>
      <w:r>
        <w:t xml:space="preserve"> у Општинској управи, Међуопштински сл. лист општина В. Плана и С. Паланка бр. 37/22.</w:t>
      </w:r>
    </w:p>
  </w:footnote>
  <w:footnote w:id="3">
    <w:p w14:paraId="2077C6C7" w14:textId="174EE2B4" w:rsidR="000B118B" w:rsidRDefault="000B118B">
      <w:pPr>
        <w:pStyle w:val="FootnoteText"/>
      </w:pPr>
      <w:r>
        <w:rPr>
          <w:rStyle w:val="FootnoteReference"/>
        </w:rPr>
        <w:footnoteRef/>
      </w:r>
      <w:r>
        <w:t xml:space="preserve"> Решење о образовању и именовању председника и чланова Локалног савета за запошљавање за територију општине Смедеревска Паланка, Међуопштински сл. лист општина В. Плана и С. Паланка бр. 7/22.</w:t>
      </w:r>
    </w:p>
  </w:footnote>
  <w:footnote w:id="4">
    <w:p w14:paraId="4C4359BE" w14:textId="1724D736" w:rsidR="000B118B" w:rsidRDefault="000B118B">
      <w:pPr>
        <w:pStyle w:val="FootnoteText"/>
      </w:pPr>
      <w:r>
        <w:rPr>
          <w:rStyle w:val="FootnoteReference"/>
        </w:rPr>
        <w:footnoteRef/>
      </w:r>
      <w:r>
        <w:t xml:space="preserve"> Одлука о укидању Туристичке организације у Смедеревској Паланци, Међуопштински сл. лист општина В. Плана и С. Паланка бр. 42/18.</w:t>
      </w:r>
    </w:p>
  </w:footnote>
  <w:footnote w:id="5">
    <w:p w14:paraId="7A217845" w14:textId="0E62804E" w:rsidR="00A703B0" w:rsidRDefault="00A703B0">
      <w:pPr>
        <w:pStyle w:val="FootnoteText"/>
      </w:pPr>
      <w:r>
        <w:rPr>
          <w:rStyle w:val="FootnoteReference"/>
        </w:rPr>
        <w:footnoteRef/>
      </w:r>
      <w:r>
        <w:t xml:space="preserve"> Међуопштински сл. лист општина В. Плана и С. Паланка бр. 26/22.</w:t>
      </w:r>
    </w:p>
  </w:footnote>
  <w:footnote w:id="6">
    <w:p w14:paraId="414E6C2E" w14:textId="40A65001" w:rsidR="000B118B" w:rsidRPr="00304819" w:rsidRDefault="000B118B">
      <w:pPr>
        <w:pStyle w:val="FootnoteText"/>
      </w:pPr>
      <w:r>
        <w:rPr>
          <w:rStyle w:val="FootnoteReference"/>
        </w:rPr>
        <w:footnoteRef/>
      </w:r>
      <w:r>
        <w:t xml:space="preserve"> Локални акциони план запошљавања општине Смедеревска Паланка за 2022. годину, Међуопштински сл. лист општина В. Плана и С. Паланка бр. 7/22.</w:t>
      </w:r>
    </w:p>
  </w:footnote>
  <w:footnote w:id="7">
    <w:p w14:paraId="4527FA73" w14:textId="74158F73" w:rsidR="000B118B" w:rsidRDefault="000B118B">
      <w:pPr>
        <w:pStyle w:val="FootnoteText"/>
      </w:pPr>
      <w:r>
        <w:rPr>
          <w:rStyle w:val="FootnoteReference"/>
        </w:rPr>
        <w:footnoteRef/>
      </w:r>
      <w:r>
        <w:t xml:space="preserve"> Локални акциони план за родну равноправност општине Смедеревска Паланка за период 2021-2025, Међуопштински сл. лист општина В. Плана и С. Паланка бр. 34/21.</w:t>
      </w:r>
    </w:p>
  </w:footnote>
  <w:footnote w:id="8">
    <w:p w14:paraId="752E420E" w14:textId="43925297" w:rsidR="000B118B" w:rsidRDefault="000B118B">
      <w:pPr>
        <w:pStyle w:val="FootnoteText"/>
      </w:pPr>
      <w:r>
        <w:rPr>
          <w:rStyle w:val="FootnoteReference"/>
        </w:rPr>
        <w:footnoteRef/>
      </w:r>
      <w:r>
        <w:t xml:space="preserve"> Одлука о приступању изради Бренд стратегије општине Смедеревска Паланка, Међуопштински сл. лист општина В. Плана и С. Паланка бр. 26/20.</w:t>
      </w:r>
    </w:p>
  </w:footnote>
  <w:footnote w:id="9">
    <w:p w14:paraId="22CC33AB" w14:textId="66B8AF01" w:rsidR="000B118B" w:rsidRDefault="000B118B">
      <w:pPr>
        <w:pStyle w:val="FootnoteText"/>
      </w:pPr>
      <w:r>
        <w:rPr>
          <w:rStyle w:val="FootnoteReference"/>
        </w:rPr>
        <w:footnoteRef/>
      </w:r>
      <w:r>
        <w:t xml:space="preserve"> Униформна листа програма и програмских активности јединица локалне самоуправе утврђена је од стране Министарства финансија (</w:t>
      </w:r>
      <w:hyperlink r:id="rId1" w:history="1">
        <w:r w:rsidRPr="007F6F6D">
          <w:rPr>
            <w:rStyle w:val="Hyperlink"/>
          </w:rPr>
          <w:t>линк</w:t>
        </w:r>
      </w:hyperlink>
      <w:r>
        <w:t>).</w:t>
      </w:r>
    </w:p>
  </w:footnote>
  <w:footnote w:id="10">
    <w:p w14:paraId="73C24488" w14:textId="19750C60" w:rsidR="000B118B" w:rsidRDefault="000B118B">
      <w:pPr>
        <w:pStyle w:val="FootnoteText"/>
      </w:pPr>
      <w:r>
        <w:rPr>
          <w:rStyle w:val="FootnoteReference"/>
        </w:rPr>
        <w:footnoteRef/>
      </w:r>
      <w:r>
        <w:t xml:space="preserve"> Одлука о уређивању грађевинског земљишта и одређивању доприноса за уређивање грађевинског земљишта, Међуопштински сл. лист општина В. Плана и С. Паланка бр. 39/19, 15/20 и 26/20. </w:t>
      </w:r>
    </w:p>
  </w:footnote>
  <w:footnote w:id="11">
    <w:p w14:paraId="2D839DE2" w14:textId="77777777" w:rsidR="000B118B" w:rsidRPr="00304819" w:rsidRDefault="000B118B" w:rsidP="00E4151F">
      <w:pPr>
        <w:pStyle w:val="FootnoteText"/>
      </w:pPr>
      <w:r>
        <w:rPr>
          <w:rStyle w:val="FootnoteReference"/>
        </w:rPr>
        <w:footnoteRef/>
      </w:r>
      <w:r>
        <w:t xml:space="preserve"> Локални акциони план запошљавања општине Смедеревска Паланка за 2022. годину, Међуопштински сл. лист општина В. Плана и С. Паланка бр. 7/22.</w:t>
      </w:r>
    </w:p>
  </w:footnote>
  <w:footnote w:id="12">
    <w:p w14:paraId="2C76B85E" w14:textId="77777777" w:rsidR="000B118B" w:rsidRDefault="000B118B" w:rsidP="002C486A">
      <w:pPr>
        <w:pStyle w:val="FootnoteText"/>
      </w:pPr>
      <w:r>
        <w:rPr>
          <w:rStyle w:val="FootnoteReference"/>
        </w:rPr>
        <w:footnoteRef/>
      </w:r>
      <w:r>
        <w:t xml:space="preserve"> Одлука о укидању Туристичке организације у Смедеревској Паланци, Међуопштински сл. лист општина В. Плана и С. Паланка бр. 42/18.</w:t>
      </w:r>
    </w:p>
  </w:footnote>
  <w:footnote w:id="13">
    <w:p w14:paraId="31ACA699" w14:textId="77777777" w:rsidR="000B118B" w:rsidRDefault="000B118B" w:rsidP="00A53DA1">
      <w:pPr>
        <w:pStyle w:val="FootnoteText"/>
      </w:pPr>
      <w:r>
        <w:rPr>
          <w:rStyle w:val="FootnoteReference"/>
        </w:rPr>
        <w:footnoteRef/>
      </w:r>
      <w:r>
        <w:t xml:space="preserve"> Извор: Регистар мера и подстицаја привредног развоја, Агенција за привредне регистре (</w:t>
      </w:r>
      <w:hyperlink r:id="rId2" w:history="1">
        <w:r w:rsidRPr="00952B48">
          <w:rPr>
            <w:rStyle w:val="Hyperlink"/>
          </w:rPr>
          <w:t>линк</w:t>
        </w:r>
      </w:hyperlink>
      <w:r>
        <w:t>).</w:t>
      </w:r>
    </w:p>
  </w:footnote>
  <w:footnote w:id="14">
    <w:p w14:paraId="0406D624" w14:textId="77777777" w:rsidR="000B118B" w:rsidRDefault="000B118B" w:rsidP="00CD1B55">
      <w:pPr>
        <w:pStyle w:val="FootnoteText"/>
      </w:pPr>
      <w:r>
        <w:rPr>
          <w:rStyle w:val="FootnoteReference"/>
        </w:rPr>
        <w:footnoteRef/>
      </w:r>
      <w:r>
        <w:t xml:space="preserve"> Показатељи о броју привредних субјеката на 1 000 становника израчунати по методологији Републичког секретаријата за јавне политике (Аналитички сервис ЈЛС), коришћењем података Агенције за привредне регистре (Регистар мера и подстицаја привредног развоја).</w:t>
      </w:r>
    </w:p>
  </w:footnote>
  <w:footnote w:id="15">
    <w:p w14:paraId="01547337" w14:textId="77777777" w:rsidR="000B118B" w:rsidRPr="006C36BB" w:rsidRDefault="000B118B" w:rsidP="00725BB2">
      <w:pPr>
        <w:pStyle w:val="FootnoteText"/>
      </w:pPr>
      <w:r>
        <w:rPr>
          <w:rStyle w:val="FootnoteReference"/>
        </w:rPr>
        <w:footnoteRef/>
      </w:r>
      <w:r>
        <w:t xml:space="preserve"> Стопа настанка нових привредних субјеката се, према методологији Републичког секретаријата за јавне политике (Аналитички сервис ЈЛС), рачуна као однос броја новооснованих и укупног броја активних привредних субјеката у датој години. Подаци за 2021. израчунати су на основу података Агенције за привредне регистре (Регистар мера и подстицаја привредног развоја - </w:t>
      </w:r>
      <w:hyperlink r:id="rId3" w:history="1">
        <w:r w:rsidRPr="00952B48">
          <w:rPr>
            <w:rStyle w:val="Hyperlink"/>
          </w:rPr>
          <w:t>линк</w:t>
        </w:r>
      </w:hyperlink>
      <w:r>
        <w:t>)</w:t>
      </w:r>
      <w:r w:rsidRPr="006C36BB">
        <w:t>.</w:t>
      </w:r>
    </w:p>
  </w:footnote>
  <w:footnote w:id="16">
    <w:p w14:paraId="768BA91B" w14:textId="0CA0ECAB" w:rsidR="000B118B" w:rsidRPr="006C36BB" w:rsidRDefault="000B118B" w:rsidP="00227927">
      <w:pPr>
        <w:pStyle w:val="FootnoteText"/>
      </w:pPr>
      <w:r>
        <w:rPr>
          <w:rStyle w:val="FootnoteReference"/>
        </w:rPr>
        <w:footnoteRef/>
      </w:r>
      <w:r>
        <w:t xml:space="preserve"> Стопа настанка привредних друштава и предузетничких радњи на нивоу Републике је у 2021. години износила, редом 7,2% и 11,9%, док је вредност ових показатеља на нивоу Подунавске области износила, редом, 6,4% и 12,7%. Извор: прорачун на основу података АПР (Регистар мера и подстицаја привредног развоја - </w:t>
      </w:r>
      <w:hyperlink r:id="rId4" w:history="1">
        <w:r w:rsidRPr="00952B48">
          <w:rPr>
            <w:rStyle w:val="Hyperlink"/>
          </w:rPr>
          <w:t>линк</w:t>
        </w:r>
      </w:hyperlink>
      <w:r>
        <w:t>)</w:t>
      </w:r>
      <w:r w:rsidRPr="006C36BB">
        <w:t>.</w:t>
      </w:r>
    </w:p>
  </w:footnote>
  <w:footnote w:id="17">
    <w:p w14:paraId="743C10CE" w14:textId="77777777" w:rsidR="000B118B" w:rsidRPr="006C36BB" w:rsidRDefault="000B118B" w:rsidP="00374182">
      <w:pPr>
        <w:pStyle w:val="FootnoteText"/>
      </w:pPr>
      <w:r>
        <w:rPr>
          <w:rStyle w:val="FootnoteReference"/>
        </w:rPr>
        <w:footnoteRef/>
      </w:r>
      <w:r>
        <w:t xml:space="preserve"> Извор: Агенција за привредне регистре (Регистар мера и подстицаја привредног развоја - </w:t>
      </w:r>
      <w:hyperlink r:id="rId5" w:history="1">
        <w:r w:rsidRPr="00952B48">
          <w:rPr>
            <w:rStyle w:val="Hyperlink"/>
          </w:rPr>
          <w:t>линк</w:t>
        </w:r>
      </w:hyperlink>
      <w:r>
        <w:t>)</w:t>
      </w:r>
      <w:r w:rsidRPr="006C36BB">
        <w:t>.</w:t>
      </w:r>
    </w:p>
  </w:footnote>
  <w:footnote w:id="18">
    <w:p w14:paraId="6AEF2711" w14:textId="2C45C67F" w:rsidR="000B118B" w:rsidRDefault="000B118B">
      <w:pPr>
        <w:pStyle w:val="FootnoteText"/>
      </w:pPr>
      <w:r>
        <w:rPr>
          <w:rStyle w:val="FootnoteReference"/>
        </w:rPr>
        <w:footnoteRef/>
      </w:r>
      <w:r>
        <w:t xml:space="preserve"> У периоду 2018-2020. између 60% и 80% укупног броја активних привредних друштава је предавао финансијске извештаје АПР-у, док у случају предузетника овај проценат не достиже ни 40%. Извор: прорачун на основу података АПР-а ().</w:t>
      </w:r>
    </w:p>
  </w:footnote>
  <w:footnote w:id="19">
    <w:p w14:paraId="2806CB16" w14:textId="77777777" w:rsidR="000B118B" w:rsidRDefault="000B118B" w:rsidP="0094522B">
      <w:pPr>
        <w:pStyle w:val="FootnoteText"/>
      </w:pPr>
      <w:r>
        <w:rPr>
          <w:rStyle w:val="FootnoteReference"/>
        </w:rPr>
        <w:footnoteRef/>
      </w:r>
      <w:r>
        <w:t xml:space="preserve"> Извор: </w:t>
      </w:r>
      <w:hyperlink r:id="rId6" w:history="1">
        <w:r w:rsidRPr="00DE50C5">
          <w:rPr>
            <w:rStyle w:val="Hyperlink"/>
          </w:rPr>
          <w:t>https://privatizacija.privreda.gov.rs/</w:t>
        </w:r>
      </w:hyperlink>
      <w:r>
        <w:t xml:space="preserve">. </w:t>
      </w:r>
    </w:p>
  </w:footnote>
  <w:footnote w:id="20">
    <w:p w14:paraId="29A68B7D" w14:textId="45DE43E2" w:rsidR="000B118B" w:rsidRDefault="000B118B">
      <w:pPr>
        <w:pStyle w:val="FootnoteText"/>
      </w:pPr>
      <w:r>
        <w:rPr>
          <w:rStyle w:val="FootnoteReference"/>
        </w:rPr>
        <w:footnoteRef/>
      </w:r>
      <w:r>
        <w:t xml:space="preserve"> Извор: информативни портали Б92 (</w:t>
      </w:r>
      <w:hyperlink r:id="rId7" w:history="1">
        <w:r w:rsidRPr="00F87631">
          <w:rPr>
            <w:rStyle w:val="Hyperlink"/>
          </w:rPr>
          <w:t>линк</w:t>
        </w:r>
      </w:hyperlink>
      <w:r>
        <w:t>) и Е-капија (</w:t>
      </w:r>
      <w:hyperlink r:id="rId8" w:history="1">
        <w:r w:rsidRPr="00190D06">
          <w:rPr>
            <w:rStyle w:val="Hyperlink"/>
          </w:rPr>
          <w:t>линк</w:t>
        </w:r>
      </w:hyperlink>
      <w:r>
        <w:t>).</w:t>
      </w:r>
    </w:p>
  </w:footnote>
  <w:footnote w:id="21">
    <w:p w14:paraId="7521C5D1" w14:textId="1625A340" w:rsidR="000B118B" w:rsidRDefault="000B118B" w:rsidP="00963851">
      <w:pPr>
        <w:pStyle w:val="FootnoteText"/>
      </w:pPr>
      <w:r>
        <w:rPr>
          <w:rStyle w:val="FootnoteReference"/>
        </w:rPr>
        <w:footnoteRef/>
      </w:r>
      <w:r>
        <w:t xml:space="preserve"> Извор: Агенција за привредне регистре – Регистар мера и подстицаја регионалног развоја (</w:t>
      </w:r>
      <w:hyperlink r:id="rId9" w:history="1">
        <w:r w:rsidRPr="009A5253">
          <w:rPr>
            <w:rStyle w:val="Hyperlink"/>
          </w:rPr>
          <w:t>линк</w:t>
        </w:r>
      </w:hyperlink>
      <w:r>
        <w:t>) и прорачун.</w:t>
      </w:r>
    </w:p>
  </w:footnote>
  <w:footnote w:id="22">
    <w:p w14:paraId="14299103" w14:textId="78CB09FE" w:rsidR="000B118B" w:rsidRDefault="000B118B">
      <w:pPr>
        <w:pStyle w:val="FootnoteText"/>
      </w:pPr>
      <w:r>
        <w:rPr>
          <w:rStyle w:val="FootnoteReference"/>
        </w:rPr>
        <w:footnoteRef/>
      </w:r>
      <w:r>
        <w:t xml:space="preserve"> Извор: Развојна агенција Србије (</w:t>
      </w:r>
      <w:hyperlink r:id="rId10" w:history="1">
        <w:r w:rsidRPr="00D05538">
          <w:rPr>
            <w:rStyle w:val="Hyperlink"/>
          </w:rPr>
          <w:t>линк</w:t>
        </w:r>
      </w:hyperlink>
      <w:r>
        <w:t>).</w:t>
      </w:r>
    </w:p>
  </w:footnote>
  <w:footnote w:id="23">
    <w:p w14:paraId="7AC7A08C" w14:textId="77777777" w:rsidR="000B118B" w:rsidRDefault="000B118B" w:rsidP="00380565">
      <w:pPr>
        <w:pStyle w:val="FootnoteText"/>
      </w:pPr>
      <w:r>
        <w:rPr>
          <w:rStyle w:val="FootnoteReference"/>
        </w:rPr>
        <w:footnoteRef/>
      </w:r>
      <w:r>
        <w:t xml:space="preserve"> Извор података за регистровану запосленост и зараде је база података Републичког завода за статистику (</w:t>
      </w:r>
      <w:hyperlink r:id="rId11" w:history="1">
        <w:r w:rsidRPr="004F3A7A">
          <w:rPr>
            <w:rStyle w:val="Hyperlink"/>
          </w:rPr>
          <w:t>линк</w:t>
        </w:r>
      </w:hyperlink>
      <w:r>
        <w:t>). Подаци су наведени директно, или су извршена прерачунавања (нпр. структура по појединим категоријама, или рачунање промене у односу на претходни период).</w:t>
      </w:r>
    </w:p>
  </w:footnote>
  <w:footnote w:id="24">
    <w:p w14:paraId="57671BA9" w14:textId="77777777" w:rsidR="000B118B" w:rsidRDefault="000B118B" w:rsidP="00380565">
      <w:pPr>
        <w:pStyle w:val="FootnoteText"/>
      </w:pPr>
      <w:r>
        <w:rPr>
          <w:rStyle w:val="FootnoteReference"/>
        </w:rPr>
        <w:footnoteRef/>
      </w:r>
      <w:r>
        <w:t xml:space="preserve"> Појам регистроване запослености односи се на лица која уплаћују доприносе за обавезно социјално осигурање, и по том основу се налазе у евиденцији Централног регистра обавезног социјалног осигурања. То значи да су обухваћена лица која имају формално заснован радни однос код послодавца, лица која обављају самосталне делатности, предузетници, регистровани пољопривредници, као и лица која нису у радном односу, али су формално ангажована по основу других типова уговора и остварују примања која имају карактер зараде (нпр. уговор о делу или уговор о обављању привремених и повремених послова). Извор: Републички завод за статистику – методолошки материјали и документација (</w:t>
      </w:r>
      <w:hyperlink r:id="rId12" w:history="1">
        <w:r w:rsidRPr="004F3A7A">
          <w:rPr>
            <w:rStyle w:val="Hyperlink"/>
          </w:rPr>
          <w:t>линк</w:t>
        </w:r>
      </w:hyperlink>
      <w:r>
        <w:t>).</w:t>
      </w:r>
    </w:p>
  </w:footnote>
  <w:footnote w:id="25">
    <w:p w14:paraId="36D76799" w14:textId="77777777" w:rsidR="000B118B" w:rsidRDefault="000B118B" w:rsidP="00EF7A8C">
      <w:pPr>
        <w:pStyle w:val="FootnoteText"/>
      </w:pPr>
      <w:r>
        <w:rPr>
          <w:rStyle w:val="FootnoteReference"/>
        </w:rPr>
        <w:footnoteRef/>
      </w:r>
      <w:r>
        <w:t xml:space="preserve"> Извор података: Статистички билтен Националне службе за запошљавање, различита издања (</w:t>
      </w:r>
      <w:hyperlink r:id="rId13" w:history="1">
        <w:r w:rsidRPr="00DF0B11">
          <w:rPr>
            <w:rStyle w:val="Hyperlink"/>
          </w:rPr>
          <w:t>линк</w:t>
        </w:r>
      </w:hyperlink>
      <w:r>
        <w:t>) и прорачун (апсолутне и процентуалне промене броја незапослених на евиденцији НСЗ).</w:t>
      </w:r>
    </w:p>
  </w:footnote>
  <w:footnote w:id="26">
    <w:p w14:paraId="72ED56AE" w14:textId="77777777" w:rsidR="000B118B" w:rsidRDefault="000B118B" w:rsidP="00402EAA">
      <w:pPr>
        <w:pStyle w:val="FootnoteText"/>
      </w:pPr>
      <w:r>
        <w:rPr>
          <w:rStyle w:val="FootnoteReference"/>
        </w:rPr>
        <w:footnoteRef/>
      </w:r>
      <w:r>
        <w:t xml:space="preserve"> Треба напоменути да, поред запошљавања, постоје и други разлози за брисање незапосленог лица из евиденције НСЗ – нпр. одлазак у пензију или навршавање 65. године живота, </w:t>
      </w:r>
      <w:r w:rsidRPr="00457100">
        <w:t>неприхватањ</w:t>
      </w:r>
      <w:r>
        <w:t>е</w:t>
      </w:r>
      <w:r w:rsidRPr="00457100">
        <w:t xml:space="preserve"> понуђеног запослења, одбијањ</w:t>
      </w:r>
      <w:r>
        <w:t>е</w:t>
      </w:r>
      <w:r w:rsidRPr="00457100">
        <w:t xml:space="preserve"> учешћ</w:t>
      </w:r>
      <w:r>
        <w:t>а</w:t>
      </w:r>
      <w:r w:rsidRPr="00457100">
        <w:t xml:space="preserve"> у програму активних мера запошљавања</w:t>
      </w:r>
      <w:r>
        <w:t>, нејављање организацији за запошљавање и др. Извор: Статистички билтен Националне службе за запошљавање (</w:t>
      </w:r>
      <w:hyperlink r:id="rId14" w:history="1">
        <w:r w:rsidRPr="00DF0B11">
          <w:rPr>
            <w:rStyle w:val="Hyperlink"/>
          </w:rPr>
          <w:t>линк</w:t>
        </w:r>
      </w:hyperlink>
      <w:r>
        <w:t>).</w:t>
      </w:r>
    </w:p>
  </w:footnote>
  <w:footnote w:id="27">
    <w:p w14:paraId="6FBE26AC" w14:textId="2BADF817" w:rsidR="000B118B" w:rsidRDefault="000B118B">
      <w:pPr>
        <w:pStyle w:val="FootnoteText"/>
      </w:pPr>
      <w:r>
        <w:rPr>
          <w:rStyle w:val="FootnoteReference"/>
        </w:rPr>
        <w:footnoteRef/>
      </w:r>
      <w:r>
        <w:t xml:space="preserve"> Извор: Завод за заштиту споменика културе (</w:t>
      </w:r>
      <w:hyperlink r:id="rId15" w:history="1">
        <w:r w:rsidRPr="00B31B3C">
          <w:rPr>
            <w:rStyle w:val="Hyperlink"/>
          </w:rPr>
          <w:t>линк</w:t>
        </w:r>
      </w:hyperlink>
      <w:r>
        <w:t>).</w:t>
      </w:r>
    </w:p>
  </w:footnote>
  <w:footnote w:id="28">
    <w:p w14:paraId="50C43A5D" w14:textId="77777777" w:rsidR="000B118B" w:rsidRDefault="000B118B" w:rsidP="00336DAB">
      <w:pPr>
        <w:pStyle w:val="FootnoteText"/>
      </w:pPr>
      <w:r>
        <w:rPr>
          <w:rStyle w:val="FootnoteReference"/>
        </w:rPr>
        <w:footnoteRef/>
      </w:r>
      <w:r>
        <w:t xml:space="preserve"> Извор података: Министарство трговине, туризма и телекомуникација – списак категорисаних објеката (</w:t>
      </w:r>
      <w:hyperlink r:id="rId16" w:history="1">
        <w:r w:rsidRPr="00303563">
          <w:rPr>
            <w:rStyle w:val="Hyperlink"/>
          </w:rPr>
          <w:t>линк</w:t>
        </w:r>
      </w:hyperlink>
      <w:r>
        <w:t>) – стање у јулу 2022. године.</w:t>
      </w:r>
    </w:p>
  </w:footnote>
  <w:footnote w:id="29">
    <w:p w14:paraId="02EB15F7" w14:textId="77777777" w:rsidR="000B118B" w:rsidRDefault="000B118B" w:rsidP="00BC0C14">
      <w:pPr>
        <w:pStyle w:val="FootnoteText"/>
      </w:pPr>
      <w:r>
        <w:rPr>
          <w:rStyle w:val="FootnoteReference"/>
        </w:rPr>
        <w:footnoteRef/>
      </w:r>
      <w:r>
        <w:t xml:space="preserve"> Извор података: база података Републичког завода за статистику (</w:t>
      </w:r>
      <w:hyperlink r:id="rId17" w:history="1">
        <w:r w:rsidRPr="003D206A">
          <w:rPr>
            <w:rStyle w:val="Hyperlink"/>
          </w:rPr>
          <w:t>линк</w:t>
        </w:r>
      </w:hyperlink>
      <w:r>
        <w:t>) и прорачун.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3B46"/>
    <w:multiLevelType w:val="multilevel"/>
    <w:tmpl w:val="780E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86387"/>
    <w:multiLevelType w:val="hybridMultilevel"/>
    <w:tmpl w:val="E8B2A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E1B19"/>
    <w:multiLevelType w:val="multilevel"/>
    <w:tmpl w:val="9142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774EF0"/>
    <w:multiLevelType w:val="hybridMultilevel"/>
    <w:tmpl w:val="AFACFCBA"/>
    <w:lvl w:ilvl="0" w:tplc="9B72F5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911A5"/>
    <w:multiLevelType w:val="hybridMultilevel"/>
    <w:tmpl w:val="56B6D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47205"/>
    <w:multiLevelType w:val="multilevel"/>
    <w:tmpl w:val="2DBC076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ajorEastAsia" w:hAnsiTheme="minorHAnsi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ajorHAnsi" w:hAnsiTheme="majorHAnsi" w:cstheme="majorHAnsi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DF26210"/>
    <w:multiLevelType w:val="multilevel"/>
    <w:tmpl w:val="95B2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02250F"/>
    <w:multiLevelType w:val="hybridMultilevel"/>
    <w:tmpl w:val="C834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56E82"/>
    <w:multiLevelType w:val="hybridMultilevel"/>
    <w:tmpl w:val="A6AEF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31E10"/>
    <w:multiLevelType w:val="multilevel"/>
    <w:tmpl w:val="1B202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1652C9"/>
    <w:multiLevelType w:val="hybridMultilevel"/>
    <w:tmpl w:val="4DA2D364"/>
    <w:lvl w:ilvl="0" w:tplc="3884A8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F549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E70C90"/>
    <w:multiLevelType w:val="hybridMultilevel"/>
    <w:tmpl w:val="3EF0D5CC"/>
    <w:lvl w:ilvl="0" w:tplc="E7A67CDA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E1E92"/>
    <w:multiLevelType w:val="multilevel"/>
    <w:tmpl w:val="EB84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463C35"/>
    <w:multiLevelType w:val="hybridMultilevel"/>
    <w:tmpl w:val="08284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358EC"/>
    <w:multiLevelType w:val="hybridMultilevel"/>
    <w:tmpl w:val="34ECC9FC"/>
    <w:lvl w:ilvl="0" w:tplc="0D12B3CE">
      <w:start w:val="1"/>
      <w:numFmt w:val="bullet"/>
      <w:pStyle w:val="Lista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E3FF0"/>
    <w:multiLevelType w:val="hybridMultilevel"/>
    <w:tmpl w:val="39EC7298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773F04B6"/>
    <w:multiLevelType w:val="hybridMultilevel"/>
    <w:tmpl w:val="EE96B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85907"/>
    <w:multiLevelType w:val="hybridMultilevel"/>
    <w:tmpl w:val="31E8F8FE"/>
    <w:lvl w:ilvl="0" w:tplc="DA7EC6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386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9541555">
    <w:abstractNumId w:val="6"/>
  </w:num>
  <w:num w:numId="2" w16cid:durableId="2058502250">
    <w:abstractNumId w:val="5"/>
  </w:num>
  <w:num w:numId="3" w16cid:durableId="1197893625">
    <w:abstractNumId w:val="3"/>
  </w:num>
  <w:num w:numId="4" w16cid:durableId="926577195">
    <w:abstractNumId w:val="11"/>
  </w:num>
  <w:num w:numId="5" w16cid:durableId="343675755">
    <w:abstractNumId w:val="2"/>
  </w:num>
  <w:num w:numId="6" w16cid:durableId="1290011598">
    <w:abstractNumId w:val="13"/>
  </w:num>
  <w:num w:numId="7" w16cid:durableId="1129515905">
    <w:abstractNumId w:val="16"/>
  </w:num>
  <w:num w:numId="8" w16cid:durableId="111556771">
    <w:abstractNumId w:val="7"/>
  </w:num>
  <w:num w:numId="9" w16cid:durableId="1077941653">
    <w:abstractNumId w:val="4"/>
  </w:num>
  <w:num w:numId="10" w16cid:durableId="1293898386">
    <w:abstractNumId w:val="15"/>
  </w:num>
  <w:num w:numId="11" w16cid:durableId="135873926">
    <w:abstractNumId w:val="10"/>
  </w:num>
  <w:num w:numId="12" w16cid:durableId="1525244503">
    <w:abstractNumId w:val="17"/>
  </w:num>
  <w:num w:numId="13" w16cid:durableId="294871821">
    <w:abstractNumId w:val="14"/>
  </w:num>
  <w:num w:numId="14" w16cid:durableId="116527319">
    <w:abstractNumId w:val="8"/>
  </w:num>
  <w:num w:numId="15" w16cid:durableId="293213694">
    <w:abstractNumId w:val="1"/>
  </w:num>
  <w:num w:numId="16" w16cid:durableId="1368793172">
    <w:abstractNumId w:val="12"/>
  </w:num>
  <w:num w:numId="17" w16cid:durableId="1584799246">
    <w:abstractNumId w:val="0"/>
  </w:num>
  <w:num w:numId="18" w16cid:durableId="15089774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51"/>
    <w:rsid w:val="00003D32"/>
    <w:rsid w:val="00004C3B"/>
    <w:rsid w:val="0000501F"/>
    <w:rsid w:val="000075C4"/>
    <w:rsid w:val="00012106"/>
    <w:rsid w:val="0001364C"/>
    <w:rsid w:val="00014473"/>
    <w:rsid w:val="00020285"/>
    <w:rsid w:val="00021153"/>
    <w:rsid w:val="00024154"/>
    <w:rsid w:val="00024636"/>
    <w:rsid w:val="000256D2"/>
    <w:rsid w:val="00026751"/>
    <w:rsid w:val="00027BF6"/>
    <w:rsid w:val="00032067"/>
    <w:rsid w:val="00035072"/>
    <w:rsid w:val="000415D2"/>
    <w:rsid w:val="00041FA9"/>
    <w:rsid w:val="00042AC4"/>
    <w:rsid w:val="00043570"/>
    <w:rsid w:val="00043D9C"/>
    <w:rsid w:val="00044AEE"/>
    <w:rsid w:val="00045210"/>
    <w:rsid w:val="00045AAD"/>
    <w:rsid w:val="00046FEA"/>
    <w:rsid w:val="00050CBA"/>
    <w:rsid w:val="00052739"/>
    <w:rsid w:val="00054367"/>
    <w:rsid w:val="000557F3"/>
    <w:rsid w:val="00055A2D"/>
    <w:rsid w:val="00055E5B"/>
    <w:rsid w:val="000604B5"/>
    <w:rsid w:val="0006087C"/>
    <w:rsid w:val="0006097E"/>
    <w:rsid w:val="000610AC"/>
    <w:rsid w:val="000626C8"/>
    <w:rsid w:val="00062F1C"/>
    <w:rsid w:val="00064CAC"/>
    <w:rsid w:val="000668FC"/>
    <w:rsid w:val="00067610"/>
    <w:rsid w:val="00070113"/>
    <w:rsid w:val="00070802"/>
    <w:rsid w:val="000723DE"/>
    <w:rsid w:val="00075C1F"/>
    <w:rsid w:val="00076756"/>
    <w:rsid w:val="00077B79"/>
    <w:rsid w:val="00080124"/>
    <w:rsid w:val="00081070"/>
    <w:rsid w:val="00081268"/>
    <w:rsid w:val="000819CF"/>
    <w:rsid w:val="000823E0"/>
    <w:rsid w:val="00083378"/>
    <w:rsid w:val="00083775"/>
    <w:rsid w:val="00083AB7"/>
    <w:rsid w:val="0008694F"/>
    <w:rsid w:val="0008779C"/>
    <w:rsid w:val="00090EF1"/>
    <w:rsid w:val="00091973"/>
    <w:rsid w:val="000924C6"/>
    <w:rsid w:val="00093084"/>
    <w:rsid w:val="00093204"/>
    <w:rsid w:val="0009380F"/>
    <w:rsid w:val="00093ACE"/>
    <w:rsid w:val="00093C22"/>
    <w:rsid w:val="00094468"/>
    <w:rsid w:val="00095BC6"/>
    <w:rsid w:val="000A0DEE"/>
    <w:rsid w:val="000A23AF"/>
    <w:rsid w:val="000A4616"/>
    <w:rsid w:val="000A5695"/>
    <w:rsid w:val="000A70BD"/>
    <w:rsid w:val="000A7909"/>
    <w:rsid w:val="000A7B7C"/>
    <w:rsid w:val="000A7CB5"/>
    <w:rsid w:val="000B0BE7"/>
    <w:rsid w:val="000B118B"/>
    <w:rsid w:val="000B188D"/>
    <w:rsid w:val="000B2947"/>
    <w:rsid w:val="000B2D6D"/>
    <w:rsid w:val="000B30CA"/>
    <w:rsid w:val="000B3AC5"/>
    <w:rsid w:val="000B4767"/>
    <w:rsid w:val="000B5915"/>
    <w:rsid w:val="000B674A"/>
    <w:rsid w:val="000C1363"/>
    <w:rsid w:val="000C1B76"/>
    <w:rsid w:val="000C229D"/>
    <w:rsid w:val="000C2843"/>
    <w:rsid w:val="000C4805"/>
    <w:rsid w:val="000C593E"/>
    <w:rsid w:val="000C5F8E"/>
    <w:rsid w:val="000D08DF"/>
    <w:rsid w:val="000D246E"/>
    <w:rsid w:val="000D3CFF"/>
    <w:rsid w:val="000D5640"/>
    <w:rsid w:val="000D5F97"/>
    <w:rsid w:val="000D6525"/>
    <w:rsid w:val="000D7478"/>
    <w:rsid w:val="000E12E3"/>
    <w:rsid w:val="000E16A9"/>
    <w:rsid w:val="000E51E4"/>
    <w:rsid w:val="000E5C83"/>
    <w:rsid w:val="000E6541"/>
    <w:rsid w:val="000E7236"/>
    <w:rsid w:val="000E7FCC"/>
    <w:rsid w:val="000F4980"/>
    <w:rsid w:val="000F4B3B"/>
    <w:rsid w:val="000F4F96"/>
    <w:rsid w:val="000F566E"/>
    <w:rsid w:val="000F7B96"/>
    <w:rsid w:val="000F7E88"/>
    <w:rsid w:val="000F7F36"/>
    <w:rsid w:val="00102CFF"/>
    <w:rsid w:val="00103BBE"/>
    <w:rsid w:val="00103DDA"/>
    <w:rsid w:val="00104311"/>
    <w:rsid w:val="00104A40"/>
    <w:rsid w:val="00104BCB"/>
    <w:rsid w:val="00106781"/>
    <w:rsid w:val="00110F46"/>
    <w:rsid w:val="00114A16"/>
    <w:rsid w:val="00115E0D"/>
    <w:rsid w:val="001170BE"/>
    <w:rsid w:val="00117DF0"/>
    <w:rsid w:val="00120789"/>
    <w:rsid w:val="00121D14"/>
    <w:rsid w:val="00122A5E"/>
    <w:rsid w:val="00123C6E"/>
    <w:rsid w:val="001252C1"/>
    <w:rsid w:val="00126EA8"/>
    <w:rsid w:val="00127730"/>
    <w:rsid w:val="001279ED"/>
    <w:rsid w:val="00127C15"/>
    <w:rsid w:val="00130E84"/>
    <w:rsid w:val="00131AED"/>
    <w:rsid w:val="00131E46"/>
    <w:rsid w:val="0013202A"/>
    <w:rsid w:val="00133AD9"/>
    <w:rsid w:val="0013427E"/>
    <w:rsid w:val="001348F3"/>
    <w:rsid w:val="00135B0F"/>
    <w:rsid w:val="00135D80"/>
    <w:rsid w:val="00136909"/>
    <w:rsid w:val="001370A4"/>
    <w:rsid w:val="0014141B"/>
    <w:rsid w:val="00141E5A"/>
    <w:rsid w:val="00141FE0"/>
    <w:rsid w:val="00143513"/>
    <w:rsid w:val="0014479E"/>
    <w:rsid w:val="00144854"/>
    <w:rsid w:val="00147685"/>
    <w:rsid w:val="00150E9F"/>
    <w:rsid w:val="00152164"/>
    <w:rsid w:val="00153301"/>
    <w:rsid w:val="001539D1"/>
    <w:rsid w:val="00154DEB"/>
    <w:rsid w:val="001563DF"/>
    <w:rsid w:val="001569A1"/>
    <w:rsid w:val="00160625"/>
    <w:rsid w:val="00162678"/>
    <w:rsid w:val="00164B8B"/>
    <w:rsid w:val="00164FD6"/>
    <w:rsid w:val="00171A39"/>
    <w:rsid w:val="00171C6A"/>
    <w:rsid w:val="0017495F"/>
    <w:rsid w:val="00175B1D"/>
    <w:rsid w:val="00175E48"/>
    <w:rsid w:val="00175FD8"/>
    <w:rsid w:val="00176AEB"/>
    <w:rsid w:val="00181EAE"/>
    <w:rsid w:val="001827B8"/>
    <w:rsid w:val="00182EAC"/>
    <w:rsid w:val="00184744"/>
    <w:rsid w:val="001847D3"/>
    <w:rsid w:val="001856A3"/>
    <w:rsid w:val="00185D7E"/>
    <w:rsid w:val="001868CE"/>
    <w:rsid w:val="00187F28"/>
    <w:rsid w:val="00190D06"/>
    <w:rsid w:val="00191804"/>
    <w:rsid w:val="00191FB4"/>
    <w:rsid w:val="001935A3"/>
    <w:rsid w:val="00197949"/>
    <w:rsid w:val="001A0A3A"/>
    <w:rsid w:val="001A1688"/>
    <w:rsid w:val="001A1C3B"/>
    <w:rsid w:val="001A25A2"/>
    <w:rsid w:val="001A3944"/>
    <w:rsid w:val="001A426C"/>
    <w:rsid w:val="001A6E8D"/>
    <w:rsid w:val="001A7B5A"/>
    <w:rsid w:val="001A7EE3"/>
    <w:rsid w:val="001B339D"/>
    <w:rsid w:val="001B3A0B"/>
    <w:rsid w:val="001B4341"/>
    <w:rsid w:val="001B47AD"/>
    <w:rsid w:val="001C46B2"/>
    <w:rsid w:val="001C4A21"/>
    <w:rsid w:val="001C7F18"/>
    <w:rsid w:val="001D133C"/>
    <w:rsid w:val="001D2B76"/>
    <w:rsid w:val="001D34CC"/>
    <w:rsid w:val="001D771D"/>
    <w:rsid w:val="001E0E69"/>
    <w:rsid w:val="001E1DE4"/>
    <w:rsid w:val="001E1F53"/>
    <w:rsid w:val="001E2430"/>
    <w:rsid w:val="001E2879"/>
    <w:rsid w:val="001E6657"/>
    <w:rsid w:val="001E6679"/>
    <w:rsid w:val="001E7996"/>
    <w:rsid w:val="001F0589"/>
    <w:rsid w:val="001F0627"/>
    <w:rsid w:val="001F0720"/>
    <w:rsid w:val="001F1EC5"/>
    <w:rsid w:val="001F239D"/>
    <w:rsid w:val="001F2A21"/>
    <w:rsid w:val="001F4AD3"/>
    <w:rsid w:val="001F4C06"/>
    <w:rsid w:val="001F58B1"/>
    <w:rsid w:val="001F5E7D"/>
    <w:rsid w:val="001F5F78"/>
    <w:rsid w:val="001F6393"/>
    <w:rsid w:val="00201A71"/>
    <w:rsid w:val="0020441D"/>
    <w:rsid w:val="002044E4"/>
    <w:rsid w:val="002053CC"/>
    <w:rsid w:val="0020560A"/>
    <w:rsid w:val="00205834"/>
    <w:rsid w:val="002064B2"/>
    <w:rsid w:val="00211287"/>
    <w:rsid w:val="0021201B"/>
    <w:rsid w:val="0021266A"/>
    <w:rsid w:val="00216CFC"/>
    <w:rsid w:val="00216D66"/>
    <w:rsid w:val="00220AA7"/>
    <w:rsid w:val="00220E07"/>
    <w:rsid w:val="002256CE"/>
    <w:rsid w:val="00226C38"/>
    <w:rsid w:val="00227927"/>
    <w:rsid w:val="0023383E"/>
    <w:rsid w:val="00233B7E"/>
    <w:rsid w:val="002343A1"/>
    <w:rsid w:val="00234C72"/>
    <w:rsid w:val="002350B0"/>
    <w:rsid w:val="00235A9A"/>
    <w:rsid w:val="00240FD3"/>
    <w:rsid w:val="0024129D"/>
    <w:rsid w:val="00242040"/>
    <w:rsid w:val="002424C0"/>
    <w:rsid w:val="002424D9"/>
    <w:rsid w:val="002456F8"/>
    <w:rsid w:val="002457DD"/>
    <w:rsid w:val="00245B84"/>
    <w:rsid w:val="0024637D"/>
    <w:rsid w:val="002466FD"/>
    <w:rsid w:val="00247A0F"/>
    <w:rsid w:val="00250AE9"/>
    <w:rsid w:val="00251F81"/>
    <w:rsid w:val="0025247C"/>
    <w:rsid w:val="0025364A"/>
    <w:rsid w:val="002538AC"/>
    <w:rsid w:val="00257709"/>
    <w:rsid w:val="0026088E"/>
    <w:rsid w:val="00262C0D"/>
    <w:rsid w:val="00263789"/>
    <w:rsid w:val="00266649"/>
    <w:rsid w:val="00270C4F"/>
    <w:rsid w:val="002717B5"/>
    <w:rsid w:val="00272370"/>
    <w:rsid w:val="00274A94"/>
    <w:rsid w:val="002753A9"/>
    <w:rsid w:val="002772DD"/>
    <w:rsid w:val="00282D97"/>
    <w:rsid w:val="0028452B"/>
    <w:rsid w:val="00290942"/>
    <w:rsid w:val="00296FAB"/>
    <w:rsid w:val="002A3211"/>
    <w:rsid w:val="002A47C7"/>
    <w:rsid w:val="002A5D34"/>
    <w:rsid w:val="002A7161"/>
    <w:rsid w:val="002A7197"/>
    <w:rsid w:val="002B0667"/>
    <w:rsid w:val="002B2712"/>
    <w:rsid w:val="002B3DA2"/>
    <w:rsid w:val="002B3ED6"/>
    <w:rsid w:val="002B4D00"/>
    <w:rsid w:val="002B4D39"/>
    <w:rsid w:val="002B720E"/>
    <w:rsid w:val="002C004B"/>
    <w:rsid w:val="002C12BE"/>
    <w:rsid w:val="002C1B11"/>
    <w:rsid w:val="002C279E"/>
    <w:rsid w:val="002C2BDB"/>
    <w:rsid w:val="002C3627"/>
    <w:rsid w:val="002C3765"/>
    <w:rsid w:val="002C486A"/>
    <w:rsid w:val="002C5B82"/>
    <w:rsid w:val="002C5F5C"/>
    <w:rsid w:val="002C654B"/>
    <w:rsid w:val="002C705C"/>
    <w:rsid w:val="002C7197"/>
    <w:rsid w:val="002D2DF7"/>
    <w:rsid w:val="002D364D"/>
    <w:rsid w:val="002D41A3"/>
    <w:rsid w:val="002D4215"/>
    <w:rsid w:val="002D6248"/>
    <w:rsid w:val="002E0D56"/>
    <w:rsid w:val="002E29CF"/>
    <w:rsid w:val="002E4087"/>
    <w:rsid w:val="002E52A3"/>
    <w:rsid w:val="002E641A"/>
    <w:rsid w:val="002F0C6A"/>
    <w:rsid w:val="002F1CC8"/>
    <w:rsid w:val="002F2295"/>
    <w:rsid w:val="002F281F"/>
    <w:rsid w:val="002F33B3"/>
    <w:rsid w:val="002F3A30"/>
    <w:rsid w:val="002F3B20"/>
    <w:rsid w:val="002F419E"/>
    <w:rsid w:val="002F45FB"/>
    <w:rsid w:val="00300095"/>
    <w:rsid w:val="00303563"/>
    <w:rsid w:val="00304816"/>
    <w:rsid w:val="00304819"/>
    <w:rsid w:val="003052BA"/>
    <w:rsid w:val="0030551F"/>
    <w:rsid w:val="00305DAC"/>
    <w:rsid w:val="00306721"/>
    <w:rsid w:val="00306F1E"/>
    <w:rsid w:val="003072CC"/>
    <w:rsid w:val="00307D4F"/>
    <w:rsid w:val="003107B9"/>
    <w:rsid w:val="0031096A"/>
    <w:rsid w:val="00310A6F"/>
    <w:rsid w:val="00312EE8"/>
    <w:rsid w:val="00316214"/>
    <w:rsid w:val="003165D9"/>
    <w:rsid w:val="00316F90"/>
    <w:rsid w:val="003201FC"/>
    <w:rsid w:val="003203DE"/>
    <w:rsid w:val="00320719"/>
    <w:rsid w:val="0032167C"/>
    <w:rsid w:val="00323E73"/>
    <w:rsid w:val="00324E78"/>
    <w:rsid w:val="00325E9F"/>
    <w:rsid w:val="00331011"/>
    <w:rsid w:val="00332553"/>
    <w:rsid w:val="00334E69"/>
    <w:rsid w:val="00334E9C"/>
    <w:rsid w:val="00335053"/>
    <w:rsid w:val="00336DAB"/>
    <w:rsid w:val="00337558"/>
    <w:rsid w:val="00341445"/>
    <w:rsid w:val="003421DD"/>
    <w:rsid w:val="00343F4D"/>
    <w:rsid w:val="0034625B"/>
    <w:rsid w:val="003476D3"/>
    <w:rsid w:val="00350777"/>
    <w:rsid w:val="00352B9C"/>
    <w:rsid w:val="00354FE3"/>
    <w:rsid w:val="00361065"/>
    <w:rsid w:val="003611EF"/>
    <w:rsid w:val="00361B98"/>
    <w:rsid w:val="003620FA"/>
    <w:rsid w:val="00363424"/>
    <w:rsid w:val="0036400D"/>
    <w:rsid w:val="003643B3"/>
    <w:rsid w:val="003651EB"/>
    <w:rsid w:val="00366C9F"/>
    <w:rsid w:val="003711B4"/>
    <w:rsid w:val="00373C16"/>
    <w:rsid w:val="00374182"/>
    <w:rsid w:val="00374361"/>
    <w:rsid w:val="00374A4E"/>
    <w:rsid w:val="003765B2"/>
    <w:rsid w:val="00380565"/>
    <w:rsid w:val="0038164F"/>
    <w:rsid w:val="00382579"/>
    <w:rsid w:val="00382C47"/>
    <w:rsid w:val="0038660E"/>
    <w:rsid w:val="00391CE6"/>
    <w:rsid w:val="00393CFF"/>
    <w:rsid w:val="003941DA"/>
    <w:rsid w:val="0039479D"/>
    <w:rsid w:val="0039714A"/>
    <w:rsid w:val="003A0399"/>
    <w:rsid w:val="003A04BA"/>
    <w:rsid w:val="003A0DE2"/>
    <w:rsid w:val="003A1603"/>
    <w:rsid w:val="003A1BEA"/>
    <w:rsid w:val="003A258F"/>
    <w:rsid w:val="003A38A0"/>
    <w:rsid w:val="003A46AB"/>
    <w:rsid w:val="003A554F"/>
    <w:rsid w:val="003A6106"/>
    <w:rsid w:val="003A64BC"/>
    <w:rsid w:val="003A6586"/>
    <w:rsid w:val="003A7148"/>
    <w:rsid w:val="003B1F86"/>
    <w:rsid w:val="003B2AAE"/>
    <w:rsid w:val="003B2F3A"/>
    <w:rsid w:val="003B30BC"/>
    <w:rsid w:val="003B52DF"/>
    <w:rsid w:val="003B554E"/>
    <w:rsid w:val="003B5AEA"/>
    <w:rsid w:val="003B5E4C"/>
    <w:rsid w:val="003B6D02"/>
    <w:rsid w:val="003B6D87"/>
    <w:rsid w:val="003C00B0"/>
    <w:rsid w:val="003C04A4"/>
    <w:rsid w:val="003C0C4A"/>
    <w:rsid w:val="003C216A"/>
    <w:rsid w:val="003C219B"/>
    <w:rsid w:val="003C3111"/>
    <w:rsid w:val="003C5A9B"/>
    <w:rsid w:val="003D10A8"/>
    <w:rsid w:val="003D1E27"/>
    <w:rsid w:val="003D1E99"/>
    <w:rsid w:val="003D1FB3"/>
    <w:rsid w:val="003D1FFA"/>
    <w:rsid w:val="003D206A"/>
    <w:rsid w:val="003D2EC6"/>
    <w:rsid w:val="003D32A3"/>
    <w:rsid w:val="003D39D1"/>
    <w:rsid w:val="003D3F52"/>
    <w:rsid w:val="003D5DDC"/>
    <w:rsid w:val="003D618E"/>
    <w:rsid w:val="003D66FC"/>
    <w:rsid w:val="003D6F22"/>
    <w:rsid w:val="003D7696"/>
    <w:rsid w:val="003E02C1"/>
    <w:rsid w:val="003E0BBF"/>
    <w:rsid w:val="003E0F98"/>
    <w:rsid w:val="003E2AFE"/>
    <w:rsid w:val="003E30B2"/>
    <w:rsid w:val="003E7569"/>
    <w:rsid w:val="003F013C"/>
    <w:rsid w:val="003F01BD"/>
    <w:rsid w:val="003F1985"/>
    <w:rsid w:val="003F31F3"/>
    <w:rsid w:val="003F3C1C"/>
    <w:rsid w:val="003F492F"/>
    <w:rsid w:val="003F499D"/>
    <w:rsid w:val="003F4E75"/>
    <w:rsid w:val="003F4ED2"/>
    <w:rsid w:val="003F5888"/>
    <w:rsid w:val="003F5BAF"/>
    <w:rsid w:val="0040297C"/>
    <w:rsid w:val="00402D3A"/>
    <w:rsid w:val="00402EAA"/>
    <w:rsid w:val="0040357D"/>
    <w:rsid w:val="004056AA"/>
    <w:rsid w:val="00405847"/>
    <w:rsid w:val="0040639B"/>
    <w:rsid w:val="00406966"/>
    <w:rsid w:val="00407B00"/>
    <w:rsid w:val="00411386"/>
    <w:rsid w:val="00412F71"/>
    <w:rsid w:val="00413F7A"/>
    <w:rsid w:val="00414167"/>
    <w:rsid w:val="00415B59"/>
    <w:rsid w:val="004167D8"/>
    <w:rsid w:val="004173F1"/>
    <w:rsid w:val="0042153D"/>
    <w:rsid w:val="00421D3B"/>
    <w:rsid w:val="00422615"/>
    <w:rsid w:val="004238D2"/>
    <w:rsid w:val="00424070"/>
    <w:rsid w:val="00424EF4"/>
    <w:rsid w:val="0042736F"/>
    <w:rsid w:val="00430D5F"/>
    <w:rsid w:val="00431486"/>
    <w:rsid w:val="0043257C"/>
    <w:rsid w:val="00432EE5"/>
    <w:rsid w:val="00433482"/>
    <w:rsid w:val="00433D3A"/>
    <w:rsid w:val="00436721"/>
    <w:rsid w:val="00437DEA"/>
    <w:rsid w:val="00440E8A"/>
    <w:rsid w:val="004412D1"/>
    <w:rsid w:val="00443CFF"/>
    <w:rsid w:val="004473F8"/>
    <w:rsid w:val="00450489"/>
    <w:rsid w:val="00451CA9"/>
    <w:rsid w:val="00452A57"/>
    <w:rsid w:val="004545B7"/>
    <w:rsid w:val="00456F8B"/>
    <w:rsid w:val="00457100"/>
    <w:rsid w:val="004605DF"/>
    <w:rsid w:val="00462943"/>
    <w:rsid w:val="0046336C"/>
    <w:rsid w:val="004656AB"/>
    <w:rsid w:val="00471B35"/>
    <w:rsid w:val="00473110"/>
    <w:rsid w:val="00474168"/>
    <w:rsid w:val="0047605C"/>
    <w:rsid w:val="004763C0"/>
    <w:rsid w:val="0047647B"/>
    <w:rsid w:val="00476A2F"/>
    <w:rsid w:val="00477FE7"/>
    <w:rsid w:val="00482176"/>
    <w:rsid w:val="0048449B"/>
    <w:rsid w:val="00484CDB"/>
    <w:rsid w:val="0048517F"/>
    <w:rsid w:val="00490227"/>
    <w:rsid w:val="0049040A"/>
    <w:rsid w:val="00491AC2"/>
    <w:rsid w:val="00492DE5"/>
    <w:rsid w:val="004943DC"/>
    <w:rsid w:val="004A07B0"/>
    <w:rsid w:val="004A1805"/>
    <w:rsid w:val="004A1DF6"/>
    <w:rsid w:val="004A39F0"/>
    <w:rsid w:val="004A4796"/>
    <w:rsid w:val="004A59DE"/>
    <w:rsid w:val="004A6087"/>
    <w:rsid w:val="004A61DB"/>
    <w:rsid w:val="004A6EB4"/>
    <w:rsid w:val="004B061B"/>
    <w:rsid w:val="004B2595"/>
    <w:rsid w:val="004B6886"/>
    <w:rsid w:val="004B6BDF"/>
    <w:rsid w:val="004B6C61"/>
    <w:rsid w:val="004B77C7"/>
    <w:rsid w:val="004B7D70"/>
    <w:rsid w:val="004C10F8"/>
    <w:rsid w:val="004C13C5"/>
    <w:rsid w:val="004C1A34"/>
    <w:rsid w:val="004C1D21"/>
    <w:rsid w:val="004C2684"/>
    <w:rsid w:val="004C32FD"/>
    <w:rsid w:val="004C3B5A"/>
    <w:rsid w:val="004C6158"/>
    <w:rsid w:val="004C704F"/>
    <w:rsid w:val="004D05CE"/>
    <w:rsid w:val="004D1164"/>
    <w:rsid w:val="004D378F"/>
    <w:rsid w:val="004D38D5"/>
    <w:rsid w:val="004D3F89"/>
    <w:rsid w:val="004D4EB8"/>
    <w:rsid w:val="004D5970"/>
    <w:rsid w:val="004D6EB3"/>
    <w:rsid w:val="004D772F"/>
    <w:rsid w:val="004E35A0"/>
    <w:rsid w:val="004E3CF9"/>
    <w:rsid w:val="004E511A"/>
    <w:rsid w:val="004E516E"/>
    <w:rsid w:val="004E5A6C"/>
    <w:rsid w:val="004E64A9"/>
    <w:rsid w:val="004E6A84"/>
    <w:rsid w:val="004F0947"/>
    <w:rsid w:val="004F0C74"/>
    <w:rsid w:val="004F141E"/>
    <w:rsid w:val="004F315A"/>
    <w:rsid w:val="004F3235"/>
    <w:rsid w:val="004F36D0"/>
    <w:rsid w:val="004F38C2"/>
    <w:rsid w:val="004F3A7A"/>
    <w:rsid w:val="004F3ECA"/>
    <w:rsid w:val="004F498E"/>
    <w:rsid w:val="004F4B7A"/>
    <w:rsid w:val="004F730D"/>
    <w:rsid w:val="005002BA"/>
    <w:rsid w:val="00506F8F"/>
    <w:rsid w:val="00512423"/>
    <w:rsid w:val="005138B9"/>
    <w:rsid w:val="00513F0D"/>
    <w:rsid w:val="0051543B"/>
    <w:rsid w:val="00515957"/>
    <w:rsid w:val="00515CE8"/>
    <w:rsid w:val="0051654A"/>
    <w:rsid w:val="00516C99"/>
    <w:rsid w:val="0052212F"/>
    <w:rsid w:val="0052724F"/>
    <w:rsid w:val="00530C99"/>
    <w:rsid w:val="0053123C"/>
    <w:rsid w:val="00531619"/>
    <w:rsid w:val="0053228D"/>
    <w:rsid w:val="00533394"/>
    <w:rsid w:val="00534211"/>
    <w:rsid w:val="0053471D"/>
    <w:rsid w:val="00536C1F"/>
    <w:rsid w:val="00536EB6"/>
    <w:rsid w:val="005409E2"/>
    <w:rsid w:val="00540CE3"/>
    <w:rsid w:val="00540D02"/>
    <w:rsid w:val="00541E95"/>
    <w:rsid w:val="0054396E"/>
    <w:rsid w:val="00543D97"/>
    <w:rsid w:val="00545D92"/>
    <w:rsid w:val="00547A1E"/>
    <w:rsid w:val="00551F25"/>
    <w:rsid w:val="00551F6C"/>
    <w:rsid w:val="005524A7"/>
    <w:rsid w:val="005530BE"/>
    <w:rsid w:val="00553214"/>
    <w:rsid w:val="0055333E"/>
    <w:rsid w:val="00554710"/>
    <w:rsid w:val="0055578F"/>
    <w:rsid w:val="00562EDA"/>
    <w:rsid w:val="00562FD8"/>
    <w:rsid w:val="0056310D"/>
    <w:rsid w:val="005643D6"/>
    <w:rsid w:val="00564933"/>
    <w:rsid w:val="00565BE9"/>
    <w:rsid w:val="00565DB5"/>
    <w:rsid w:val="005669DC"/>
    <w:rsid w:val="00571720"/>
    <w:rsid w:val="0057595B"/>
    <w:rsid w:val="00576517"/>
    <w:rsid w:val="00576F23"/>
    <w:rsid w:val="005821F5"/>
    <w:rsid w:val="005825E3"/>
    <w:rsid w:val="00583B0D"/>
    <w:rsid w:val="00584E11"/>
    <w:rsid w:val="00586D80"/>
    <w:rsid w:val="00587056"/>
    <w:rsid w:val="00590158"/>
    <w:rsid w:val="0059111C"/>
    <w:rsid w:val="00592466"/>
    <w:rsid w:val="005937F3"/>
    <w:rsid w:val="005959C4"/>
    <w:rsid w:val="00596220"/>
    <w:rsid w:val="005A1043"/>
    <w:rsid w:val="005A1B51"/>
    <w:rsid w:val="005A380C"/>
    <w:rsid w:val="005A44D1"/>
    <w:rsid w:val="005A4B50"/>
    <w:rsid w:val="005A5630"/>
    <w:rsid w:val="005A7CBC"/>
    <w:rsid w:val="005B0465"/>
    <w:rsid w:val="005B0A93"/>
    <w:rsid w:val="005B1207"/>
    <w:rsid w:val="005B1F0A"/>
    <w:rsid w:val="005B2C1E"/>
    <w:rsid w:val="005B2CA0"/>
    <w:rsid w:val="005B2CE3"/>
    <w:rsid w:val="005B5978"/>
    <w:rsid w:val="005B758D"/>
    <w:rsid w:val="005C06F2"/>
    <w:rsid w:val="005C1C3C"/>
    <w:rsid w:val="005C2886"/>
    <w:rsid w:val="005C407D"/>
    <w:rsid w:val="005C4892"/>
    <w:rsid w:val="005C5A60"/>
    <w:rsid w:val="005C7685"/>
    <w:rsid w:val="005D00C3"/>
    <w:rsid w:val="005D0142"/>
    <w:rsid w:val="005D1F42"/>
    <w:rsid w:val="005D24B2"/>
    <w:rsid w:val="005D5AEB"/>
    <w:rsid w:val="005D7925"/>
    <w:rsid w:val="005E11F6"/>
    <w:rsid w:val="005E2528"/>
    <w:rsid w:val="005E3F4F"/>
    <w:rsid w:val="005E51B9"/>
    <w:rsid w:val="005E64B0"/>
    <w:rsid w:val="005E6C35"/>
    <w:rsid w:val="005E6EC4"/>
    <w:rsid w:val="005E7417"/>
    <w:rsid w:val="005F25B3"/>
    <w:rsid w:val="005F3057"/>
    <w:rsid w:val="005F4866"/>
    <w:rsid w:val="005F524A"/>
    <w:rsid w:val="005F6AB2"/>
    <w:rsid w:val="005F6D7D"/>
    <w:rsid w:val="005F6EB8"/>
    <w:rsid w:val="005F6F27"/>
    <w:rsid w:val="00602FEB"/>
    <w:rsid w:val="006030F3"/>
    <w:rsid w:val="00603583"/>
    <w:rsid w:val="00605378"/>
    <w:rsid w:val="0060574A"/>
    <w:rsid w:val="006063AF"/>
    <w:rsid w:val="0060731C"/>
    <w:rsid w:val="00607A12"/>
    <w:rsid w:val="0061034E"/>
    <w:rsid w:val="006128D7"/>
    <w:rsid w:val="00612EB8"/>
    <w:rsid w:val="00617651"/>
    <w:rsid w:val="00617927"/>
    <w:rsid w:val="00617EF8"/>
    <w:rsid w:val="00621C1D"/>
    <w:rsid w:val="006252E0"/>
    <w:rsid w:val="006258D1"/>
    <w:rsid w:val="00627494"/>
    <w:rsid w:val="00630243"/>
    <w:rsid w:val="00630D98"/>
    <w:rsid w:val="0063169A"/>
    <w:rsid w:val="00631C1B"/>
    <w:rsid w:val="00632065"/>
    <w:rsid w:val="00632719"/>
    <w:rsid w:val="006333E2"/>
    <w:rsid w:val="00634895"/>
    <w:rsid w:val="0063503D"/>
    <w:rsid w:val="006354CC"/>
    <w:rsid w:val="00635A8A"/>
    <w:rsid w:val="00635CE6"/>
    <w:rsid w:val="00636B49"/>
    <w:rsid w:val="00637779"/>
    <w:rsid w:val="0063782B"/>
    <w:rsid w:val="006413EB"/>
    <w:rsid w:val="0064159D"/>
    <w:rsid w:val="00641A44"/>
    <w:rsid w:val="006461A6"/>
    <w:rsid w:val="00647F50"/>
    <w:rsid w:val="006519F5"/>
    <w:rsid w:val="00651B01"/>
    <w:rsid w:val="00652817"/>
    <w:rsid w:val="00654ECE"/>
    <w:rsid w:val="006550BC"/>
    <w:rsid w:val="00660072"/>
    <w:rsid w:val="00662DE3"/>
    <w:rsid w:val="006631A7"/>
    <w:rsid w:val="0066478E"/>
    <w:rsid w:val="00665F13"/>
    <w:rsid w:val="00665FB0"/>
    <w:rsid w:val="00666F89"/>
    <w:rsid w:val="00667406"/>
    <w:rsid w:val="00667E15"/>
    <w:rsid w:val="006747A2"/>
    <w:rsid w:val="00675EF5"/>
    <w:rsid w:val="006776C6"/>
    <w:rsid w:val="0068042F"/>
    <w:rsid w:val="00682113"/>
    <w:rsid w:val="006876D9"/>
    <w:rsid w:val="00691834"/>
    <w:rsid w:val="00694410"/>
    <w:rsid w:val="00694B99"/>
    <w:rsid w:val="0069546E"/>
    <w:rsid w:val="006954C7"/>
    <w:rsid w:val="00695861"/>
    <w:rsid w:val="006A0494"/>
    <w:rsid w:val="006A103B"/>
    <w:rsid w:val="006A1EC7"/>
    <w:rsid w:val="006A2061"/>
    <w:rsid w:val="006A36CC"/>
    <w:rsid w:val="006A3AF8"/>
    <w:rsid w:val="006A3B0C"/>
    <w:rsid w:val="006A55AC"/>
    <w:rsid w:val="006B13D5"/>
    <w:rsid w:val="006B2393"/>
    <w:rsid w:val="006B3E6A"/>
    <w:rsid w:val="006C09F0"/>
    <w:rsid w:val="006C22C7"/>
    <w:rsid w:val="006C301C"/>
    <w:rsid w:val="006C36BB"/>
    <w:rsid w:val="006C556A"/>
    <w:rsid w:val="006C5D26"/>
    <w:rsid w:val="006C6860"/>
    <w:rsid w:val="006C6B32"/>
    <w:rsid w:val="006C6F47"/>
    <w:rsid w:val="006D006F"/>
    <w:rsid w:val="006D0575"/>
    <w:rsid w:val="006D05FA"/>
    <w:rsid w:val="006D14A1"/>
    <w:rsid w:val="006D2D34"/>
    <w:rsid w:val="006D38BE"/>
    <w:rsid w:val="006D4717"/>
    <w:rsid w:val="006D5826"/>
    <w:rsid w:val="006D5872"/>
    <w:rsid w:val="006D6DA6"/>
    <w:rsid w:val="006D76D0"/>
    <w:rsid w:val="006E0D46"/>
    <w:rsid w:val="006E1C1F"/>
    <w:rsid w:val="006E258E"/>
    <w:rsid w:val="006E2742"/>
    <w:rsid w:val="006E4A2D"/>
    <w:rsid w:val="006E5F24"/>
    <w:rsid w:val="006E5FB4"/>
    <w:rsid w:val="006E7902"/>
    <w:rsid w:val="006F038B"/>
    <w:rsid w:val="006F17A1"/>
    <w:rsid w:val="006F4AD0"/>
    <w:rsid w:val="006F4BD2"/>
    <w:rsid w:val="006F6D63"/>
    <w:rsid w:val="00701699"/>
    <w:rsid w:val="00702E2E"/>
    <w:rsid w:val="007122A3"/>
    <w:rsid w:val="0071355B"/>
    <w:rsid w:val="0071419C"/>
    <w:rsid w:val="00714682"/>
    <w:rsid w:val="00714BD4"/>
    <w:rsid w:val="00714C5C"/>
    <w:rsid w:val="00715DE1"/>
    <w:rsid w:val="00717988"/>
    <w:rsid w:val="00721EEB"/>
    <w:rsid w:val="0072257B"/>
    <w:rsid w:val="00723394"/>
    <w:rsid w:val="007239BE"/>
    <w:rsid w:val="00725BB2"/>
    <w:rsid w:val="007274A1"/>
    <w:rsid w:val="00727742"/>
    <w:rsid w:val="00730768"/>
    <w:rsid w:val="00731FF2"/>
    <w:rsid w:val="0073290E"/>
    <w:rsid w:val="007331E6"/>
    <w:rsid w:val="0073320C"/>
    <w:rsid w:val="007355D7"/>
    <w:rsid w:val="007360A3"/>
    <w:rsid w:val="00736107"/>
    <w:rsid w:val="0073624E"/>
    <w:rsid w:val="007377CD"/>
    <w:rsid w:val="007378D2"/>
    <w:rsid w:val="00740F1D"/>
    <w:rsid w:val="00742164"/>
    <w:rsid w:val="00742505"/>
    <w:rsid w:val="00743A6F"/>
    <w:rsid w:val="00744EC8"/>
    <w:rsid w:val="007453C1"/>
    <w:rsid w:val="00745868"/>
    <w:rsid w:val="00745A09"/>
    <w:rsid w:val="00750BCF"/>
    <w:rsid w:val="007516EA"/>
    <w:rsid w:val="0075465A"/>
    <w:rsid w:val="00756357"/>
    <w:rsid w:val="007567B6"/>
    <w:rsid w:val="00762333"/>
    <w:rsid w:val="007639FA"/>
    <w:rsid w:val="007649F5"/>
    <w:rsid w:val="0076598B"/>
    <w:rsid w:val="007659AD"/>
    <w:rsid w:val="00766600"/>
    <w:rsid w:val="00767422"/>
    <w:rsid w:val="0076781E"/>
    <w:rsid w:val="007724F5"/>
    <w:rsid w:val="00773AC9"/>
    <w:rsid w:val="00773DCA"/>
    <w:rsid w:val="00774B37"/>
    <w:rsid w:val="00775EE8"/>
    <w:rsid w:val="00775EEF"/>
    <w:rsid w:val="00776285"/>
    <w:rsid w:val="0077785A"/>
    <w:rsid w:val="00777BD0"/>
    <w:rsid w:val="00777F40"/>
    <w:rsid w:val="00780C52"/>
    <w:rsid w:val="00781095"/>
    <w:rsid w:val="00781552"/>
    <w:rsid w:val="00782202"/>
    <w:rsid w:val="00782AE0"/>
    <w:rsid w:val="00782E10"/>
    <w:rsid w:val="007830B5"/>
    <w:rsid w:val="007845EF"/>
    <w:rsid w:val="00786439"/>
    <w:rsid w:val="00787072"/>
    <w:rsid w:val="00787972"/>
    <w:rsid w:val="00787B5C"/>
    <w:rsid w:val="00792299"/>
    <w:rsid w:val="007924F3"/>
    <w:rsid w:val="007928BB"/>
    <w:rsid w:val="007A0B75"/>
    <w:rsid w:val="007A1378"/>
    <w:rsid w:val="007A1D2F"/>
    <w:rsid w:val="007A2605"/>
    <w:rsid w:val="007A2D27"/>
    <w:rsid w:val="007A461C"/>
    <w:rsid w:val="007A4DCD"/>
    <w:rsid w:val="007A675D"/>
    <w:rsid w:val="007A74B4"/>
    <w:rsid w:val="007A7AD1"/>
    <w:rsid w:val="007A7E7F"/>
    <w:rsid w:val="007A7EE7"/>
    <w:rsid w:val="007B05A3"/>
    <w:rsid w:val="007B0A97"/>
    <w:rsid w:val="007B182B"/>
    <w:rsid w:val="007B1CEF"/>
    <w:rsid w:val="007B3070"/>
    <w:rsid w:val="007B33FC"/>
    <w:rsid w:val="007B34F2"/>
    <w:rsid w:val="007B4357"/>
    <w:rsid w:val="007B5B8D"/>
    <w:rsid w:val="007C1252"/>
    <w:rsid w:val="007C34ED"/>
    <w:rsid w:val="007C4C8C"/>
    <w:rsid w:val="007C56F2"/>
    <w:rsid w:val="007C577B"/>
    <w:rsid w:val="007C59C0"/>
    <w:rsid w:val="007C633A"/>
    <w:rsid w:val="007C672A"/>
    <w:rsid w:val="007D0C0A"/>
    <w:rsid w:val="007D1807"/>
    <w:rsid w:val="007D1A31"/>
    <w:rsid w:val="007D20B5"/>
    <w:rsid w:val="007D2306"/>
    <w:rsid w:val="007D27DD"/>
    <w:rsid w:val="007D36FD"/>
    <w:rsid w:val="007D4E27"/>
    <w:rsid w:val="007D7611"/>
    <w:rsid w:val="007D7905"/>
    <w:rsid w:val="007D7CC5"/>
    <w:rsid w:val="007E0B2C"/>
    <w:rsid w:val="007E153E"/>
    <w:rsid w:val="007E2776"/>
    <w:rsid w:val="007E542E"/>
    <w:rsid w:val="007E5EC0"/>
    <w:rsid w:val="007E7531"/>
    <w:rsid w:val="007E79E1"/>
    <w:rsid w:val="007F0682"/>
    <w:rsid w:val="007F09E5"/>
    <w:rsid w:val="007F2D9B"/>
    <w:rsid w:val="007F3E14"/>
    <w:rsid w:val="007F5405"/>
    <w:rsid w:val="007F6F6D"/>
    <w:rsid w:val="00800F9C"/>
    <w:rsid w:val="0080186A"/>
    <w:rsid w:val="00802AB0"/>
    <w:rsid w:val="008046A9"/>
    <w:rsid w:val="00807F2B"/>
    <w:rsid w:val="008114DA"/>
    <w:rsid w:val="00811ACA"/>
    <w:rsid w:val="00814011"/>
    <w:rsid w:val="00816F2D"/>
    <w:rsid w:val="008236DE"/>
    <w:rsid w:val="00826D02"/>
    <w:rsid w:val="008279C5"/>
    <w:rsid w:val="008304E5"/>
    <w:rsid w:val="00830A3C"/>
    <w:rsid w:val="00833D20"/>
    <w:rsid w:val="00834096"/>
    <w:rsid w:val="008340AB"/>
    <w:rsid w:val="00834CB8"/>
    <w:rsid w:val="00835F50"/>
    <w:rsid w:val="00837A9C"/>
    <w:rsid w:val="008409A8"/>
    <w:rsid w:val="008410A4"/>
    <w:rsid w:val="00843329"/>
    <w:rsid w:val="0084645B"/>
    <w:rsid w:val="00846E58"/>
    <w:rsid w:val="008473C4"/>
    <w:rsid w:val="00847DBE"/>
    <w:rsid w:val="00851A91"/>
    <w:rsid w:val="00853A62"/>
    <w:rsid w:val="00853ED5"/>
    <w:rsid w:val="00853EF4"/>
    <w:rsid w:val="00853FFC"/>
    <w:rsid w:val="00855858"/>
    <w:rsid w:val="0085663D"/>
    <w:rsid w:val="00860B76"/>
    <w:rsid w:val="00861E5F"/>
    <w:rsid w:val="00863FDB"/>
    <w:rsid w:val="008645DF"/>
    <w:rsid w:val="0086575E"/>
    <w:rsid w:val="00866BCA"/>
    <w:rsid w:val="00870FC3"/>
    <w:rsid w:val="008716D6"/>
    <w:rsid w:val="00871FF7"/>
    <w:rsid w:val="008730FA"/>
    <w:rsid w:val="00873307"/>
    <w:rsid w:val="00873A0B"/>
    <w:rsid w:val="00873A4F"/>
    <w:rsid w:val="00874D0C"/>
    <w:rsid w:val="00876BE4"/>
    <w:rsid w:val="00876CF8"/>
    <w:rsid w:val="00877BF0"/>
    <w:rsid w:val="0088200F"/>
    <w:rsid w:val="00886219"/>
    <w:rsid w:val="00886843"/>
    <w:rsid w:val="008872AD"/>
    <w:rsid w:val="0089056D"/>
    <w:rsid w:val="00891793"/>
    <w:rsid w:val="00891FB4"/>
    <w:rsid w:val="00895297"/>
    <w:rsid w:val="008958F6"/>
    <w:rsid w:val="00895CBC"/>
    <w:rsid w:val="00896177"/>
    <w:rsid w:val="008A0914"/>
    <w:rsid w:val="008A1026"/>
    <w:rsid w:val="008A50D2"/>
    <w:rsid w:val="008A717E"/>
    <w:rsid w:val="008A7346"/>
    <w:rsid w:val="008A7A3C"/>
    <w:rsid w:val="008B0FAB"/>
    <w:rsid w:val="008B12BF"/>
    <w:rsid w:val="008B256A"/>
    <w:rsid w:val="008B7EE5"/>
    <w:rsid w:val="008C0396"/>
    <w:rsid w:val="008C1DEB"/>
    <w:rsid w:val="008C26D3"/>
    <w:rsid w:val="008C2809"/>
    <w:rsid w:val="008C3339"/>
    <w:rsid w:val="008C4147"/>
    <w:rsid w:val="008C43DB"/>
    <w:rsid w:val="008C589D"/>
    <w:rsid w:val="008C62C1"/>
    <w:rsid w:val="008C715F"/>
    <w:rsid w:val="008D1907"/>
    <w:rsid w:val="008D6081"/>
    <w:rsid w:val="008E0B64"/>
    <w:rsid w:val="008E195D"/>
    <w:rsid w:val="008E2E6A"/>
    <w:rsid w:val="008E421B"/>
    <w:rsid w:val="008E55BC"/>
    <w:rsid w:val="008E5934"/>
    <w:rsid w:val="008E7973"/>
    <w:rsid w:val="008F02FF"/>
    <w:rsid w:val="008F1749"/>
    <w:rsid w:val="008F17CF"/>
    <w:rsid w:val="008F3DAD"/>
    <w:rsid w:val="008F4D7B"/>
    <w:rsid w:val="008F6539"/>
    <w:rsid w:val="008F7F2F"/>
    <w:rsid w:val="009031FF"/>
    <w:rsid w:val="00906A58"/>
    <w:rsid w:val="00906F73"/>
    <w:rsid w:val="0090795C"/>
    <w:rsid w:val="0091124A"/>
    <w:rsid w:val="00911CF7"/>
    <w:rsid w:val="00913549"/>
    <w:rsid w:val="009149AA"/>
    <w:rsid w:val="00914EF4"/>
    <w:rsid w:val="00917816"/>
    <w:rsid w:val="00920167"/>
    <w:rsid w:val="009202B8"/>
    <w:rsid w:val="00922D82"/>
    <w:rsid w:val="00926E8E"/>
    <w:rsid w:val="009271AB"/>
    <w:rsid w:val="009345EF"/>
    <w:rsid w:val="00935B90"/>
    <w:rsid w:val="0093690F"/>
    <w:rsid w:val="009379A3"/>
    <w:rsid w:val="00940C47"/>
    <w:rsid w:val="009431BC"/>
    <w:rsid w:val="00944DED"/>
    <w:rsid w:val="0094519E"/>
    <w:rsid w:val="0094522B"/>
    <w:rsid w:val="00945993"/>
    <w:rsid w:val="00946557"/>
    <w:rsid w:val="009475A7"/>
    <w:rsid w:val="0095060E"/>
    <w:rsid w:val="009529D7"/>
    <w:rsid w:val="00952B48"/>
    <w:rsid w:val="00952FDF"/>
    <w:rsid w:val="0095342A"/>
    <w:rsid w:val="00953CBA"/>
    <w:rsid w:val="00954481"/>
    <w:rsid w:val="00954AEC"/>
    <w:rsid w:val="00956A53"/>
    <w:rsid w:val="0095737A"/>
    <w:rsid w:val="00963851"/>
    <w:rsid w:val="009647EF"/>
    <w:rsid w:val="009668FE"/>
    <w:rsid w:val="009705E5"/>
    <w:rsid w:val="009706C2"/>
    <w:rsid w:val="00971516"/>
    <w:rsid w:val="00971B10"/>
    <w:rsid w:val="00971B4D"/>
    <w:rsid w:val="009726D6"/>
    <w:rsid w:val="00972D92"/>
    <w:rsid w:val="009732D8"/>
    <w:rsid w:val="0097384C"/>
    <w:rsid w:val="00973973"/>
    <w:rsid w:val="00973D71"/>
    <w:rsid w:val="00974891"/>
    <w:rsid w:val="00975E12"/>
    <w:rsid w:val="009768C0"/>
    <w:rsid w:val="00980526"/>
    <w:rsid w:val="009808AF"/>
    <w:rsid w:val="00980954"/>
    <w:rsid w:val="009873AC"/>
    <w:rsid w:val="009900C9"/>
    <w:rsid w:val="009903AA"/>
    <w:rsid w:val="0099065B"/>
    <w:rsid w:val="00990839"/>
    <w:rsid w:val="00993FD6"/>
    <w:rsid w:val="00996B98"/>
    <w:rsid w:val="00996DD1"/>
    <w:rsid w:val="009979B3"/>
    <w:rsid w:val="009A0AA8"/>
    <w:rsid w:val="009A0E3D"/>
    <w:rsid w:val="009A15A4"/>
    <w:rsid w:val="009A1BC3"/>
    <w:rsid w:val="009A2774"/>
    <w:rsid w:val="009A291A"/>
    <w:rsid w:val="009A3461"/>
    <w:rsid w:val="009A395E"/>
    <w:rsid w:val="009A3BF8"/>
    <w:rsid w:val="009A5253"/>
    <w:rsid w:val="009A529F"/>
    <w:rsid w:val="009A642E"/>
    <w:rsid w:val="009A64FF"/>
    <w:rsid w:val="009A6596"/>
    <w:rsid w:val="009A7226"/>
    <w:rsid w:val="009A7970"/>
    <w:rsid w:val="009B1D7B"/>
    <w:rsid w:val="009B37C7"/>
    <w:rsid w:val="009B3FF6"/>
    <w:rsid w:val="009B5B6D"/>
    <w:rsid w:val="009C165B"/>
    <w:rsid w:val="009C18DA"/>
    <w:rsid w:val="009C1A2C"/>
    <w:rsid w:val="009C3387"/>
    <w:rsid w:val="009C3796"/>
    <w:rsid w:val="009C532D"/>
    <w:rsid w:val="009C6D4C"/>
    <w:rsid w:val="009D0F6A"/>
    <w:rsid w:val="009D1476"/>
    <w:rsid w:val="009D523F"/>
    <w:rsid w:val="009D7F42"/>
    <w:rsid w:val="009E1E01"/>
    <w:rsid w:val="009E2713"/>
    <w:rsid w:val="009E4252"/>
    <w:rsid w:val="009E5781"/>
    <w:rsid w:val="009E65B7"/>
    <w:rsid w:val="009E6BEA"/>
    <w:rsid w:val="009E7325"/>
    <w:rsid w:val="009E7EB3"/>
    <w:rsid w:val="009F0C3F"/>
    <w:rsid w:val="009F29D0"/>
    <w:rsid w:val="009F392B"/>
    <w:rsid w:val="009F43DB"/>
    <w:rsid w:val="009F4D6E"/>
    <w:rsid w:val="009F52A5"/>
    <w:rsid w:val="009F63D6"/>
    <w:rsid w:val="009F733D"/>
    <w:rsid w:val="009F762F"/>
    <w:rsid w:val="009F7DD9"/>
    <w:rsid w:val="00A00533"/>
    <w:rsid w:val="00A024D2"/>
    <w:rsid w:val="00A045FA"/>
    <w:rsid w:val="00A0460F"/>
    <w:rsid w:val="00A05AB1"/>
    <w:rsid w:val="00A05B40"/>
    <w:rsid w:val="00A107C8"/>
    <w:rsid w:val="00A12249"/>
    <w:rsid w:val="00A123D1"/>
    <w:rsid w:val="00A14EAA"/>
    <w:rsid w:val="00A179BB"/>
    <w:rsid w:val="00A201D1"/>
    <w:rsid w:val="00A21EEA"/>
    <w:rsid w:val="00A2371C"/>
    <w:rsid w:val="00A24EAB"/>
    <w:rsid w:val="00A263D4"/>
    <w:rsid w:val="00A26B5B"/>
    <w:rsid w:val="00A26F0E"/>
    <w:rsid w:val="00A310FE"/>
    <w:rsid w:val="00A3185C"/>
    <w:rsid w:val="00A339A6"/>
    <w:rsid w:val="00A33A3D"/>
    <w:rsid w:val="00A34689"/>
    <w:rsid w:val="00A42E92"/>
    <w:rsid w:val="00A43657"/>
    <w:rsid w:val="00A44E7B"/>
    <w:rsid w:val="00A45096"/>
    <w:rsid w:val="00A45622"/>
    <w:rsid w:val="00A45868"/>
    <w:rsid w:val="00A45973"/>
    <w:rsid w:val="00A4598C"/>
    <w:rsid w:val="00A4638C"/>
    <w:rsid w:val="00A469FE"/>
    <w:rsid w:val="00A5127B"/>
    <w:rsid w:val="00A51389"/>
    <w:rsid w:val="00A5293E"/>
    <w:rsid w:val="00A53DA1"/>
    <w:rsid w:val="00A53F72"/>
    <w:rsid w:val="00A53FA3"/>
    <w:rsid w:val="00A5563D"/>
    <w:rsid w:val="00A568F5"/>
    <w:rsid w:val="00A579ED"/>
    <w:rsid w:val="00A60FEB"/>
    <w:rsid w:val="00A61714"/>
    <w:rsid w:val="00A6249B"/>
    <w:rsid w:val="00A633D7"/>
    <w:rsid w:val="00A66D27"/>
    <w:rsid w:val="00A703B0"/>
    <w:rsid w:val="00A72502"/>
    <w:rsid w:val="00A745AF"/>
    <w:rsid w:val="00A75B14"/>
    <w:rsid w:val="00A7631B"/>
    <w:rsid w:val="00A76429"/>
    <w:rsid w:val="00A7651F"/>
    <w:rsid w:val="00A767E9"/>
    <w:rsid w:val="00A76A96"/>
    <w:rsid w:val="00A81F51"/>
    <w:rsid w:val="00A82601"/>
    <w:rsid w:val="00A82603"/>
    <w:rsid w:val="00A841EB"/>
    <w:rsid w:val="00A92DA0"/>
    <w:rsid w:val="00A95A09"/>
    <w:rsid w:val="00A96251"/>
    <w:rsid w:val="00A968B1"/>
    <w:rsid w:val="00A96AB0"/>
    <w:rsid w:val="00A96ED9"/>
    <w:rsid w:val="00A974EA"/>
    <w:rsid w:val="00AA0B7A"/>
    <w:rsid w:val="00AA0F57"/>
    <w:rsid w:val="00AA3015"/>
    <w:rsid w:val="00AA78EB"/>
    <w:rsid w:val="00AB0145"/>
    <w:rsid w:val="00AB15EA"/>
    <w:rsid w:val="00AB40F0"/>
    <w:rsid w:val="00AB4253"/>
    <w:rsid w:val="00AB4336"/>
    <w:rsid w:val="00AB4A09"/>
    <w:rsid w:val="00AB64BF"/>
    <w:rsid w:val="00AB6735"/>
    <w:rsid w:val="00AB6A3B"/>
    <w:rsid w:val="00AB70CE"/>
    <w:rsid w:val="00AB7D6B"/>
    <w:rsid w:val="00AC0A0A"/>
    <w:rsid w:val="00AC1039"/>
    <w:rsid w:val="00AC11D5"/>
    <w:rsid w:val="00AC1286"/>
    <w:rsid w:val="00AC1846"/>
    <w:rsid w:val="00AC1CFB"/>
    <w:rsid w:val="00AC34A2"/>
    <w:rsid w:val="00AC3872"/>
    <w:rsid w:val="00AC568C"/>
    <w:rsid w:val="00AC64DC"/>
    <w:rsid w:val="00AD0F40"/>
    <w:rsid w:val="00AD1B36"/>
    <w:rsid w:val="00AD223F"/>
    <w:rsid w:val="00AD4E0B"/>
    <w:rsid w:val="00AD7C5A"/>
    <w:rsid w:val="00AE02BF"/>
    <w:rsid w:val="00AE035F"/>
    <w:rsid w:val="00AE35B5"/>
    <w:rsid w:val="00AE4C69"/>
    <w:rsid w:val="00AE4DAF"/>
    <w:rsid w:val="00AE5329"/>
    <w:rsid w:val="00AE553A"/>
    <w:rsid w:val="00AE7578"/>
    <w:rsid w:val="00AE7CE3"/>
    <w:rsid w:val="00AF14C7"/>
    <w:rsid w:val="00AF17A3"/>
    <w:rsid w:val="00AF2545"/>
    <w:rsid w:val="00AF33B9"/>
    <w:rsid w:val="00AF3B95"/>
    <w:rsid w:val="00AF415D"/>
    <w:rsid w:val="00AF540C"/>
    <w:rsid w:val="00AF5C17"/>
    <w:rsid w:val="00AF69FA"/>
    <w:rsid w:val="00AF7059"/>
    <w:rsid w:val="00B00EE9"/>
    <w:rsid w:val="00B02F97"/>
    <w:rsid w:val="00B031CF"/>
    <w:rsid w:val="00B036B0"/>
    <w:rsid w:val="00B03A3C"/>
    <w:rsid w:val="00B03DA9"/>
    <w:rsid w:val="00B04099"/>
    <w:rsid w:val="00B042BA"/>
    <w:rsid w:val="00B04693"/>
    <w:rsid w:val="00B0755C"/>
    <w:rsid w:val="00B07861"/>
    <w:rsid w:val="00B07AE7"/>
    <w:rsid w:val="00B11032"/>
    <w:rsid w:val="00B139E6"/>
    <w:rsid w:val="00B14D00"/>
    <w:rsid w:val="00B150CE"/>
    <w:rsid w:val="00B201BB"/>
    <w:rsid w:val="00B2198F"/>
    <w:rsid w:val="00B23EA6"/>
    <w:rsid w:val="00B24509"/>
    <w:rsid w:val="00B245F2"/>
    <w:rsid w:val="00B25326"/>
    <w:rsid w:val="00B25997"/>
    <w:rsid w:val="00B26E97"/>
    <w:rsid w:val="00B270CE"/>
    <w:rsid w:val="00B273F8"/>
    <w:rsid w:val="00B30D61"/>
    <w:rsid w:val="00B31B3C"/>
    <w:rsid w:val="00B326B3"/>
    <w:rsid w:val="00B32B31"/>
    <w:rsid w:val="00B34325"/>
    <w:rsid w:val="00B35AFB"/>
    <w:rsid w:val="00B35B59"/>
    <w:rsid w:val="00B368BD"/>
    <w:rsid w:val="00B36DCB"/>
    <w:rsid w:val="00B37EED"/>
    <w:rsid w:val="00B41034"/>
    <w:rsid w:val="00B427A4"/>
    <w:rsid w:val="00B42813"/>
    <w:rsid w:val="00B42903"/>
    <w:rsid w:val="00B43074"/>
    <w:rsid w:val="00B44392"/>
    <w:rsid w:val="00B46CF7"/>
    <w:rsid w:val="00B471ED"/>
    <w:rsid w:val="00B4793A"/>
    <w:rsid w:val="00B504C4"/>
    <w:rsid w:val="00B50FC3"/>
    <w:rsid w:val="00B51343"/>
    <w:rsid w:val="00B53EC7"/>
    <w:rsid w:val="00B5450B"/>
    <w:rsid w:val="00B554BC"/>
    <w:rsid w:val="00B55BB9"/>
    <w:rsid w:val="00B575E3"/>
    <w:rsid w:val="00B57A10"/>
    <w:rsid w:val="00B609C4"/>
    <w:rsid w:val="00B63661"/>
    <w:rsid w:val="00B64C51"/>
    <w:rsid w:val="00B677DA"/>
    <w:rsid w:val="00B712EA"/>
    <w:rsid w:val="00B72738"/>
    <w:rsid w:val="00B759BE"/>
    <w:rsid w:val="00B76507"/>
    <w:rsid w:val="00B76860"/>
    <w:rsid w:val="00B778F7"/>
    <w:rsid w:val="00B819D8"/>
    <w:rsid w:val="00B82479"/>
    <w:rsid w:val="00B82F70"/>
    <w:rsid w:val="00B84897"/>
    <w:rsid w:val="00B90E0E"/>
    <w:rsid w:val="00B9164A"/>
    <w:rsid w:val="00B91A7F"/>
    <w:rsid w:val="00B92596"/>
    <w:rsid w:val="00B9356C"/>
    <w:rsid w:val="00B94948"/>
    <w:rsid w:val="00B95655"/>
    <w:rsid w:val="00B9588B"/>
    <w:rsid w:val="00B959B0"/>
    <w:rsid w:val="00B95F98"/>
    <w:rsid w:val="00B96E84"/>
    <w:rsid w:val="00B96EEB"/>
    <w:rsid w:val="00B97F7F"/>
    <w:rsid w:val="00BA1A7D"/>
    <w:rsid w:val="00BA2399"/>
    <w:rsid w:val="00BA31C8"/>
    <w:rsid w:val="00BA3474"/>
    <w:rsid w:val="00BA6FC1"/>
    <w:rsid w:val="00BB0B58"/>
    <w:rsid w:val="00BB15FA"/>
    <w:rsid w:val="00BB3307"/>
    <w:rsid w:val="00BB5423"/>
    <w:rsid w:val="00BB66D2"/>
    <w:rsid w:val="00BB6956"/>
    <w:rsid w:val="00BC0C14"/>
    <w:rsid w:val="00BC2361"/>
    <w:rsid w:val="00BC5B3A"/>
    <w:rsid w:val="00BC797B"/>
    <w:rsid w:val="00BD092E"/>
    <w:rsid w:val="00BD0AAB"/>
    <w:rsid w:val="00BD1256"/>
    <w:rsid w:val="00BD50A1"/>
    <w:rsid w:val="00BD6167"/>
    <w:rsid w:val="00BE04E1"/>
    <w:rsid w:val="00BE0587"/>
    <w:rsid w:val="00BE0CA8"/>
    <w:rsid w:val="00BE1130"/>
    <w:rsid w:val="00BE19C8"/>
    <w:rsid w:val="00BE2DDC"/>
    <w:rsid w:val="00BE3C65"/>
    <w:rsid w:val="00BE3D54"/>
    <w:rsid w:val="00BE4F15"/>
    <w:rsid w:val="00BE59CF"/>
    <w:rsid w:val="00BE5DC0"/>
    <w:rsid w:val="00BE5DC1"/>
    <w:rsid w:val="00BE5EC7"/>
    <w:rsid w:val="00BE767D"/>
    <w:rsid w:val="00BE7A26"/>
    <w:rsid w:val="00BE7AB0"/>
    <w:rsid w:val="00BE7F04"/>
    <w:rsid w:val="00BF0D8B"/>
    <w:rsid w:val="00BF1A23"/>
    <w:rsid w:val="00BF2719"/>
    <w:rsid w:val="00BF3C9F"/>
    <w:rsid w:val="00BF57E6"/>
    <w:rsid w:val="00BF5BD8"/>
    <w:rsid w:val="00BF5C36"/>
    <w:rsid w:val="00C01C79"/>
    <w:rsid w:val="00C020E8"/>
    <w:rsid w:val="00C02E5C"/>
    <w:rsid w:val="00C04532"/>
    <w:rsid w:val="00C0482D"/>
    <w:rsid w:val="00C04DA9"/>
    <w:rsid w:val="00C0746B"/>
    <w:rsid w:val="00C07B5E"/>
    <w:rsid w:val="00C10B96"/>
    <w:rsid w:val="00C1198F"/>
    <w:rsid w:val="00C153E1"/>
    <w:rsid w:val="00C15B9A"/>
    <w:rsid w:val="00C1642E"/>
    <w:rsid w:val="00C17C75"/>
    <w:rsid w:val="00C20B62"/>
    <w:rsid w:val="00C21201"/>
    <w:rsid w:val="00C2283E"/>
    <w:rsid w:val="00C2438C"/>
    <w:rsid w:val="00C249FB"/>
    <w:rsid w:val="00C27376"/>
    <w:rsid w:val="00C2762C"/>
    <w:rsid w:val="00C3170D"/>
    <w:rsid w:val="00C3178C"/>
    <w:rsid w:val="00C32C48"/>
    <w:rsid w:val="00C344CA"/>
    <w:rsid w:val="00C35701"/>
    <w:rsid w:val="00C36710"/>
    <w:rsid w:val="00C40075"/>
    <w:rsid w:val="00C4045D"/>
    <w:rsid w:val="00C40893"/>
    <w:rsid w:val="00C413B9"/>
    <w:rsid w:val="00C416A8"/>
    <w:rsid w:val="00C42107"/>
    <w:rsid w:val="00C45ED4"/>
    <w:rsid w:val="00C46806"/>
    <w:rsid w:val="00C472A6"/>
    <w:rsid w:val="00C477F6"/>
    <w:rsid w:val="00C50E30"/>
    <w:rsid w:val="00C50EB5"/>
    <w:rsid w:val="00C51E07"/>
    <w:rsid w:val="00C55DB8"/>
    <w:rsid w:val="00C60DB6"/>
    <w:rsid w:val="00C62841"/>
    <w:rsid w:val="00C62E14"/>
    <w:rsid w:val="00C64128"/>
    <w:rsid w:val="00C64220"/>
    <w:rsid w:val="00C665FA"/>
    <w:rsid w:val="00C668B8"/>
    <w:rsid w:val="00C72FB1"/>
    <w:rsid w:val="00C77246"/>
    <w:rsid w:val="00C80108"/>
    <w:rsid w:val="00C8025A"/>
    <w:rsid w:val="00C80BD7"/>
    <w:rsid w:val="00C80DF9"/>
    <w:rsid w:val="00C8112D"/>
    <w:rsid w:val="00C816EA"/>
    <w:rsid w:val="00C8272B"/>
    <w:rsid w:val="00C83B4B"/>
    <w:rsid w:val="00C84005"/>
    <w:rsid w:val="00C847D3"/>
    <w:rsid w:val="00C84A95"/>
    <w:rsid w:val="00C854DA"/>
    <w:rsid w:val="00C87E5C"/>
    <w:rsid w:val="00C9182D"/>
    <w:rsid w:val="00C922F9"/>
    <w:rsid w:val="00C93B24"/>
    <w:rsid w:val="00C956F3"/>
    <w:rsid w:val="00C965B6"/>
    <w:rsid w:val="00C96ADE"/>
    <w:rsid w:val="00CA15C9"/>
    <w:rsid w:val="00CA16D7"/>
    <w:rsid w:val="00CA2D3A"/>
    <w:rsid w:val="00CA51C2"/>
    <w:rsid w:val="00CA650C"/>
    <w:rsid w:val="00CA7094"/>
    <w:rsid w:val="00CA7250"/>
    <w:rsid w:val="00CA76D3"/>
    <w:rsid w:val="00CA7711"/>
    <w:rsid w:val="00CB0123"/>
    <w:rsid w:val="00CB2835"/>
    <w:rsid w:val="00CB406D"/>
    <w:rsid w:val="00CB4B1E"/>
    <w:rsid w:val="00CB5BD5"/>
    <w:rsid w:val="00CB74AE"/>
    <w:rsid w:val="00CC20C9"/>
    <w:rsid w:val="00CC2EB2"/>
    <w:rsid w:val="00CC3256"/>
    <w:rsid w:val="00CC5CB9"/>
    <w:rsid w:val="00CC6BD2"/>
    <w:rsid w:val="00CC6C4E"/>
    <w:rsid w:val="00CD1B55"/>
    <w:rsid w:val="00CD2C23"/>
    <w:rsid w:val="00CD428E"/>
    <w:rsid w:val="00CD4629"/>
    <w:rsid w:val="00CD54C0"/>
    <w:rsid w:val="00CD578C"/>
    <w:rsid w:val="00CE19F4"/>
    <w:rsid w:val="00CE1BB5"/>
    <w:rsid w:val="00CE1BD5"/>
    <w:rsid w:val="00CE2ACF"/>
    <w:rsid w:val="00CE2C7E"/>
    <w:rsid w:val="00CE53AE"/>
    <w:rsid w:val="00CE72E2"/>
    <w:rsid w:val="00CE7B0D"/>
    <w:rsid w:val="00CF29F6"/>
    <w:rsid w:val="00CF431A"/>
    <w:rsid w:val="00CF77F3"/>
    <w:rsid w:val="00D0214A"/>
    <w:rsid w:val="00D0279E"/>
    <w:rsid w:val="00D04E0A"/>
    <w:rsid w:val="00D05538"/>
    <w:rsid w:val="00D056CC"/>
    <w:rsid w:val="00D05928"/>
    <w:rsid w:val="00D05A88"/>
    <w:rsid w:val="00D06F15"/>
    <w:rsid w:val="00D101CD"/>
    <w:rsid w:val="00D10267"/>
    <w:rsid w:val="00D114D9"/>
    <w:rsid w:val="00D125E6"/>
    <w:rsid w:val="00D12657"/>
    <w:rsid w:val="00D127AA"/>
    <w:rsid w:val="00D14731"/>
    <w:rsid w:val="00D15209"/>
    <w:rsid w:val="00D162C6"/>
    <w:rsid w:val="00D1776E"/>
    <w:rsid w:val="00D208B6"/>
    <w:rsid w:val="00D20C56"/>
    <w:rsid w:val="00D21E05"/>
    <w:rsid w:val="00D228E2"/>
    <w:rsid w:val="00D23E8C"/>
    <w:rsid w:val="00D24915"/>
    <w:rsid w:val="00D24CA0"/>
    <w:rsid w:val="00D24F01"/>
    <w:rsid w:val="00D2749A"/>
    <w:rsid w:val="00D27869"/>
    <w:rsid w:val="00D30B11"/>
    <w:rsid w:val="00D31500"/>
    <w:rsid w:val="00D33A6D"/>
    <w:rsid w:val="00D33EAE"/>
    <w:rsid w:val="00D3471E"/>
    <w:rsid w:val="00D349EA"/>
    <w:rsid w:val="00D349F5"/>
    <w:rsid w:val="00D35D74"/>
    <w:rsid w:val="00D3791F"/>
    <w:rsid w:val="00D3793A"/>
    <w:rsid w:val="00D37D32"/>
    <w:rsid w:val="00D40642"/>
    <w:rsid w:val="00D431F9"/>
    <w:rsid w:val="00D434F4"/>
    <w:rsid w:val="00D43DE8"/>
    <w:rsid w:val="00D4408F"/>
    <w:rsid w:val="00D45A76"/>
    <w:rsid w:val="00D53B8B"/>
    <w:rsid w:val="00D54679"/>
    <w:rsid w:val="00D552FD"/>
    <w:rsid w:val="00D55789"/>
    <w:rsid w:val="00D61489"/>
    <w:rsid w:val="00D61549"/>
    <w:rsid w:val="00D62E8D"/>
    <w:rsid w:val="00D62F1D"/>
    <w:rsid w:val="00D630A5"/>
    <w:rsid w:val="00D64033"/>
    <w:rsid w:val="00D642CA"/>
    <w:rsid w:val="00D64667"/>
    <w:rsid w:val="00D65205"/>
    <w:rsid w:val="00D66B90"/>
    <w:rsid w:val="00D70999"/>
    <w:rsid w:val="00D71E03"/>
    <w:rsid w:val="00D75ACA"/>
    <w:rsid w:val="00D76F1F"/>
    <w:rsid w:val="00D77B41"/>
    <w:rsid w:val="00D80F01"/>
    <w:rsid w:val="00D831E6"/>
    <w:rsid w:val="00D83251"/>
    <w:rsid w:val="00D85243"/>
    <w:rsid w:val="00D85447"/>
    <w:rsid w:val="00D86783"/>
    <w:rsid w:val="00D904DB"/>
    <w:rsid w:val="00D91432"/>
    <w:rsid w:val="00D93B53"/>
    <w:rsid w:val="00D952C5"/>
    <w:rsid w:val="00D966CE"/>
    <w:rsid w:val="00D968E6"/>
    <w:rsid w:val="00D975AD"/>
    <w:rsid w:val="00DA1FE5"/>
    <w:rsid w:val="00DA200B"/>
    <w:rsid w:val="00DA2B74"/>
    <w:rsid w:val="00DA2D1C"/>
    <w:rsid w:val="00DA3D9E"/>
    <w:rsid w:val="00DA4175"/>
    <w:rsid w:val="00DA4332"/>
    <w:rsid w:val="00DA439E"/>
    <w:rsid w:val="00DA52F5"/>
    <w:rsid w:val="00DA5703"/>
    <w:rsid w:val="00DA5FB9"/>
    <w:rsid w:val="00DA62A2"/>
    <w:rsid w:val="00DA6FE5"/>
    <w:rsid w:val="00DB0EAF"/>
    <w:rsid w:val="00DB124A"/>
    <w:rsid w:val="00DB39AA"/>
    <w:rsid w:val="00DB39D0"/>
    <w:rsid w:val="00DB3EE2"/>
    <w:rsid w:val="00DB5772"/>
    <w:rsid w:val="00DB596F"/>
    <w:rsid w:val="00DB7514"/>
    <w:rsid w:val="00DB7642"/>
    <w:rsid w:val="00DC0136"/>
    <w:rsid w:val="00DC03F3"/>
    <w:rsid w:val="00DC0441"/>
    <w:rsid w:val="00DC087A"/>
    <w:rsid w:val="00DC1889"/>
    <w:rsid w:val="00DC56D1"/>
    <w:rsid w:val="00DC6B6D"/>
    <w:rsid w:val="00DC7900"/>
    <w:rsid w:val="00DD184F"/>
    <w:rsid w:val="00DD2352"/>
    <w:rsid w:val="00DD4F29"/>
    <w:rsid w:val="00DD4F36"/>
    <w:rsid w:val="00DD5E6A"/>
    <w:rsid w:val="00DD5E9E"/>
    <w:rsid w:val="00DD61DE"/>
    <w:rsid w:val="00DD71FB"/>
    <w:rsid w:val="00DE020E"/>
    <w:rsid w:val="00DE2B76"/>
    <w:rsid w:val="00DE2BC2"/>
    <w:rsid w:val="00DE4416"/>
    <w:rsid w:val="00DE4BCD"/>
    <w:rsid w:val="00DE5740"/>
    <w:rsid w:val="00DE689C"/>
    <w:rsid w:val="00DE69F5"/>
    <w:rsid w:val="00DF06EF"/>
    <w:rsid w:val="00DF0B11"/>
    <w:rsid w:val="00DF1BC9"/>
    <w:rsid w:val="00DF5221"/>
    <w:rsid w:val="00DF5D08"/>
    <w:rsid w:val="00DF66F5"/>
    <w:rsid w:val="00E05961"/>
    <w:rsid w:val="00E069A7"/>
    <w:rsid w:val="00E107D2"/>
    <w:rsid w:val="00E12823"/>
    <w:rsid w:val="00E14CD2"/>
    <w:rsid w:val="00E210CF"/>
    <w:rsid w:val="00E22141"/>
    <w:rsid w:val="00E2245A"/>
    <w:rsid w:val="00E23EB1"/>
    <w:rsid w:val="00E23F40"/>
    <w:rsid w:val="00E241ED"/>
    <w:rsid w:val="00E25BA8"/>
    <w:rsid w:val="00E26864"/>
    <w:rsid w:val="00E309B6"/>
    <w:rsid w:val="00E30DE4"/>
    <w:rsid w:val="00E30FAD"/>
    <w:rsid w:val="00E31851"/>
    <w:rsid w:val="00E323D5"/>
    <w:rsid w:val="00E33EDE"/>
    <w:rsid w:val="00E35B2D"/>
    <w:rsid w:val="00E36577"/>
    <w:rsid w:val="00E41396"/>
    <w:rsid w:val="00E414F6"/>
    <w:rsid w:val="00E4151F"/>
    <w:rsid w:val="00E43463"/>
    <w:rsid w:val="00E45A32"/>
    <w:rsid w:val="00E46843"/>
    <w:rsid w:val="00E4687B"/>
    <w:rsid w:val="00E50529"/>
    <w:rsid w:val="00E506C6"/>
    <w:rsid w:val="00E52F98"/>
    <w:rsid w:val="00E5338F"/>
    <w:rsid w:val="00E53898"/>
    <w:rsid w:val="00E54115"/>
    <w:rsid w:val="00E54251"/>
    <w:rsid w:val="00E544E3"/>
    <w:rsid w:val="00E558CA"/>
    <w:rsid w:val="00E55B6F"/>
    <w:rsid w:val="00E560F1"/>
    <w:rsid w:val="00E56BC7"/>
    <w:rsid w:val="00E60527"/>
    <w:rsid w:val="00E60B1C"/>
    <w:rsid w:val="00E610A9"/>
    <w:rsid w:val="00E648DB"/>
    <w:rsid w:val="00E66734"/>
    <w:rsid w:val="00E67576"/>
    <w:rsid w:val="00E67B31"/>
    <w:rsid w:val="00E71681"/>
    <w:rsid w:val="00E72237"/>
    <w:rsid w:val="00E72474"/>
    <w:rsid w:val="00E744A7"/>
    <w:rsid w:val="00E747F5"/>
    <w:rsid w:val="00E76CB5"/>
    <w:rsid w:val="00E83BC9"/>
    <w:rsid w:val="00E8494A"/>
    <w:rsid w:val="00E84DC6"/>
    <w:rsid w:val="00E850C9"/>
    <w:rsid w:val="00E85263"/>
    <w:rsid w:val="00E85B41"/>
    <w:rsid w:val="00E86232"/>
    <w:rsid w:val="00E8657F"/>
    <w:rsid w:val="00E86914"/>
    <w:rsid w:val="00E869D8"/>
    <w:rsid w:val="00E87916"/>
    <w:rsid w:val="00E87C19"/>
    <w:rsid w:val="00E90E53"/>
    <w:rsid w:val="00E92457"/>
    <w:rsid w:val="00E9266A"/>
    <w:rsid w:val="00E9296C"/>
    <w:rsid w:val="00E95EB9"/>
    <w:rsid w:val="00EA210B"/>
    <w:rsid w:val="00EA301A"/>
    <w:rsid w:val="00EA3303"/>
    <w:rsid w:val="00EA5CDC"/>
    <w:rsid w:val="00EA5FBF"/>
    <w:rsid w:val="00EB02B1"/>
    <w:rsid w:val="00EB0394"/>
    <w:rsid w:val="00EB0931"/>
    <w:rsid w:val="00EB3651"/>
    <w:rsid w:val="00EB3663"/>
    <w:rsid w:val="00EB6353"/>
    <w:rsid w:val="00EB6908"/>
    <w:rsid w:val="00EB7376"/>
    <w:rsid w:val="00EC010A"/>
    <w:rsid w:val="00EC0EB2"/>
    <w:rsid w:val="00EC12F6"/>
    <w:rsid w:val="00EC4094"/>
    <w:rsid w:val="00EC42E5"/>
    <w:rsid w:val="00EC5967"/>
    <w:rsid w:val="00EC5A34"/>
    <w:rsid w:val="00EC5D8B"/>
    <w:rsid w:val="00ED10B8"/>
    <w:rsid w:val="00ED10D0"/>
    <w:rsid w:val="00ED44BA"/>
    <w:rsid w:val="00ED51DE"/>
    <w:rsid w:val="00ED5B1B"/>
    <w:rsid w:val="00ED5C3E"/>
    <w:rsid w:val="00ED6391"/>
    <w:rsid w:val="00ED7D0F"/>
    <w:rsid w:val="00EE04E8"/>
    <w:rsid w:val="00EE383D"/>
    <w:rsid w:val="00EE4894"/>
    <w:rsid w:val="00EE5D2F"/>
    <w:rsid w:val="00EF118B"/>
    <w:rsid w:val="00EF2DD0"/>
    <w:rsid w:val="00EF4E59"/>
    <w:rsid w:val="00EF5663"/>
    <w:rsid w:val="00EF5ABC"/>
    <w:rsid w:val="00EF7A8C"/>
    <w:rsid w:val="00F00BDF"/>
    <w:rsid w:val="00F00FC3"/>
    <w:rsid w:val="00F03056"/>
    <w:rsid w:val="00F04D8F"/>
    <w:rsid w:val="00F054EF"/>
    <w:rsid w:val="00F06CE8"/>
    <w:rsid w:val="00F07B8F"/>
    <w:rsid w:val="00F11645"/>
    <w:rsid w:val="00F13D05"/>
    <w:rsid w:val="00F1418E"/>
    <w:rsid w:val="00F14A2E"/>
    <w:rsid w:val="00F15166"/>
    <w:rsid w:val="00F15CAD"/>
    <w:rsid w:val="00F16909"/>
    <w:rsid w:val="00F20BB4"/>
    <w:rsid w:val="00F21B73"/>
    <w:rsid w:val="00F21CBB"/>
    <w:rsid w:val="00F222EC"/>
    <w:rsid w:val="00F23FEF"/>
    <w:rsid w:val="00F243A8"/>
    <w:rsid w:val="00F243E0"/>
    <w:rsid w:val="00F24FE6"/>
    <w:rsid w:val="00F32270"/>
    <w:rsid w:val="00F326F1"/>
    <w:rsid w:val="00F3401D"/>
    <w:rsid w:val="00F34903"/>
    <w:rsid w:val="00F35FA6"/>
    <w:rsid w:val="00F407AF"/>
    <w:rsid w:val="00F43BD4"/>
    <w:rsid w:val="00F44090"/>
    <w:rsid w:val="00F44ABF"/>
    <w:rsid w:val="00F459E9"/>
    <w:rsid w:val="00F46CBE"/>
    <w:rsid w:val="00F473D7"/>
    <w:rsid w:val="00F54222"/>
    <w:rsid w:val="00F55C67"/>
    <w:rsid w:val="00F56DF7"/>
    <w:rsid w:val="00F5752D"/>
    <w:rsid w:val="00F57FA3"/>
    <w:rsid w:val="00F6108F"/>
    <w:rsid w:val="00F61C33"/>
    <w:rsid w:val="00F6215E"/>
    <w:rsid w:val="00F6265A"/>
    <w:rsid w:val="00F64905"/>
    <w:rsid w:val="00F6662F"/>
    <w:rsid w:val="00F66B69"/>
    <w:rsid w:val="00F719C8"/>
    <w:rsid w:val="00F7281A"/>
    <w:rsid w:val="00F72AD6"/>
    <w:rsid w:val="00F731CB"/>
    <w:rsid w:val="00F747C2"/>
    <w:rsid w:val="00F74B7F"/>
    <w:rsid w:val="00F75B96"/>
    <w:rsid w:val="00F76915"/>
    <w:rsid w:val="00F772EF"/>
    <w:rsid w:val="00F80824"/>
    <w:rsid w:val="00F82F42"/>
    <w:rsid w:val="00F855C8"/>
    <w:rsid w:val="00F86D9B"/>
    <w:rsid w:val="00F87631"/>
    <w:rsid w:val="00F90835"/>
    <w:rsid w:val="00F90AE2"/>
    <w:rsid w:val="00F9176D"/>
    <w:rsid w:val="00F91BB3"/>
    <w:rsid w:val="00F93F08"/>
    <w:rsid w:val="00F9482E"/>
    <w:rsid w:val="00F961A2"/>
    <w:rsid w:val="00F97454"/>
    <w:rsid w:val="00F97C83"/>
    <w:rsid w:val="00FA0D5A"/>
    <w:rsid w:val="00FA1042"/>
    <w:rsid w:val="00FA162F"/>
    <w:rsid w:val="00FA69B2"/>
    <w:rsid w:val="00FA6BBB"/>
    <w:rsid w:val="00FA76C5"/>
    <w:rsid w:val="00FA7F12"/>
    <w:rsid w:val="00FB00A1"/>
    <w:rsid w:val="00FB0FE1"/>
    <w:rsid w:val="00FB1E43"/>
    <w:rsid w:val="00FB2CDB"/>
    <w:rsid w:val="00FB52CE"/>
    <w:rsid w:val="00FB5393"/>
    <w:rsid w:val="00FB5A34"/>
    <w:rsid w:val="00FB65B5"/>
    <w:rsid w:val="00FB69FC"/>
    <w:rsid w:val="00FB7AC3"/>
    <w:rsid w:val="00FB7DCE"/>
    <w:rsid w:val="00FC023D"/>
    <w:rsid w:val="00FC04F0"/>
    <w:rsid w:val="00FC3D38"/>
    <w:rsid w:val="00FC725A"/>
    <w:rsid w:val="00FD02A4"/>
    <w:rsid w:val="00FD237B"/>
    <w:rsid w:val="00FD385D"/>
    <w:rsid w:val="00FD570F"/>
    <w:rsid w:val="00FD6AB6"/>
    <w:rsid w:val="00FD7C30"/>
    <w:rsid w:val="00FE1124"/>
    <w:rsid w:val="00FE1E34"/>
    <w:rsid w:val="00FE455D"/>
    <w:rsid w:val="00FE53B4"/>
    <w:rsid w:val="00FE5A07"/>
    <w:rsid w:val="00FE670A"/>
    <w:rsid w:val="00FE6EEE"/>
    <w:rsid w:val="00FE74FD"/>
    <w:rsid w:val="00FF050A"/>
    <w:rsid w:val="00FF1214"/>
    <w:rsid w:val="00FF2574"/>
    <w:rsid w:val="00FF4AAE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FA7D4"/>
  <w15:docId w15:val="{BB393236-5EBE-4F3C-A52D-C7C1F477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AEE"/>
    <w:pPr>
      <w:spacing w:after="160" w:line="259" w:lineRule="auto"/>
      <w:jc w:val="both"/>
    </w:pPr>
    <w:rPr>
      <w:rFonts w:ascii="Tahoma" w:eastAsia="Times New Roman" w:hAnsi="Tahoma" w:cs="Tahoma"/>
      <w:sz w:val="22"/>
      <w:szCs w:val="22"/>
      <w:lang w:val="sr-Cyrl-RS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B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C56F2"/>
    <w:pPr>
      <w:spacing w:before="360" w:after="240"/>
      <w:outlineLvl w:val="1"/>
    </w:pPr>
    <w:rPr>
      <w:rFonts w:ascii="Tahoma" w:hAnsi="Tahoma" w:cs="Tahoma"/>
      <w:b/>
      <w:bCs/>
      <w:color w:val="2F549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138B9"/>
    <w:pPr>
      <w:spacing w:before="300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B5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C56F2"/>
    <w:rPr>
      <w:rFonts w:ascii="Tahoma" w:eastAsiaTheme="majorEastAsia" w:hAnsi="Tahoma" w:cs="Tahoma"/>
      <w:b/>
      <w:bCs/>
      <w:color w:val="2F5496"/>
      <w:sz w:val="32"/>
      <w:szCs w:val="32"/>
      <w:lang w:val="sr-Cyrl-RS"/>
    </w:rPr>
  </w:style>
  <w:style w:type="paragraph" w:styleId="FootnoteText">
    <w:name w:val="footnote text"/>
    <w:aliases w:val="single space,footnote text,FOOTNOTES,fn,Footnote Text Char1,Footnote Text Char Char,Footnote Text Char1 Char Char,Footnote Text Char Char Char Char,Footnote Text Char Char1,ADB,footnote text Char,fn Char,ADB Char Char,ft Char,ft,Fußnote,f"/>
    <w:basedOn w:val="Normal"/>
    <w:link w:val="FootnoteTextChar"/>
    <w:uiPriority w:val="99"/>
    <w:unhideWhenUsed/>
    <w:qFormat/>
    <w:rsid w:val="00952B48"/>
    <w:pPr>
      <w:spacing w:after="120" w:line="240" w:lineRule="auto"/>
    </w:pPr>
    <w:rPr>
      <w:rFonts w:eastAsiaTheme="minorHAnsi" w:cstheme="minorBidi"/>
      <w:sz w:val="18"/>
      <w:lang w:eastAsia="en-US"/>
    </w:rPr>
  </w:style>
  <w:style w:type="character" w:customStyle="1" w:styleId="FootnoteTextChar">
    <w:name w:val="Footnote Text Char"/>
    <w:aliases w:val="single space Char,footnote text Char1,FOOTNOTES Char,fn Char1,Footnote Text Char1 Char,Footnote Text Char Char Char,Footnote Text Char1 Char Char Char,Footnote Text Char Char Char Char Char,Footnote Text Char Char1 Char,ADB Char"/>
    <w:basedOn w:val="DefaultParagraphFont"/>
    <w:link w:val="FootnoteText"/>
    <w:uiPriority w:val="99"/>
    <w:rsid w:val="00952B48"/>
    <w:rPr>
      <w:rFonts w:ascii="Tahoma" w:hAnsi="Tahoma"/>
      <w:sz w:val="18"/>
      <w:szCs w:val="22"/>
      <w:lang w:val="sr-Cyrl-RS"/>
    </w:rPr>
  </w:style>
  <w:style w:type="character" w:styleId="FootnoteReference">
    <w:name w:val="footnote reference"/>
    <w:aliases w:val="BVI fnr,Footnotes refss,ftref,16 Point,Superscript 6 Point,Footnote Reference Number,nota pié di pagina,Times 10 Point,Exposant 3 Point,Footnote symbol,Footnote reference number,EN Footnote Reference,note TESI,Ref, Exposant 3 Point"/>
    <w:basedOn w:val="DefaultParagraphFont"/>
    <w:link w:val="BVIfnrChar"/>
    <w:uiPriority w:val="99"/>
    <w:unhideWhenUsed/>
    <w:qFormat/>
    <w:rsid w:val="005A1B5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A1B5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1B5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A1B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A1B5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A1B51"/>
    <w:rPr>
      <w:lang w:val="en-US"/>
    </w:rPr>
  </w:style>
  <w:style w:type="character" w:customStyle="1" w:styleId="apple-converted-space">
    <w:name w:val="apple-converted-space"/>
    <w:basedOn w:val="DefaultParagraphFont"/>
    <w:rsid w:val="005A1B51"/>
  </w:style>
  <w:style w:type="character" w:styleId="FollowedHyperlink">
    <w:name w:val="FollowedHyperlink"/>
    <w:basedOn w:val="DefaultParagraphFont"/>
    <w:uiPriority w:val="99"/>
    <w:semiHidden/>
    <w:unhideWhenUsed/>
    <w:rsid w:val="005A1B51"/>
    <w:rPr>
      <w:color w:val="954F72" w:themeColor="followedHyperlink"/>
      <w:u w:val="single"/>
    </w:rPr>
  </w:style>
  <w:style w:type="paragraph" w:styleId="ListParagraph">
    <w:name w:val="List Paragraph"/>
    <w:aliases w:val="List Paragraph1,List (Mannvit),Numbered List Paragraph,References,Numbered Paragraph,Main numbered paragraph,List_Paragraph,Multilevel para_II,Bullets,123 List Paragraph,List Paragraph nowy,Liste 1,Bullet paras,Citation List,Bullet1"/>
    <w:basedOn w:val="Normal"/>
    <w:link w:val="ListParagraphChar"/>
    <w:uiPriority w:val="34"/>
    <w:qFormat/>
    <w:rsid w:val="005A1B5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Documenttitle">
    <w:name w:val="Document title"/>
    <w:uiPriority w:val="1"/>
    <w:qFormat/>
    <w:rsid w:val="005A1B51"/>
  </w:style>
  <w:style w:type="character" w:customStyle="1" w:styleId="ListParagraphChar">
    <w:name w:val="List Paragraph Char"/>
    <w:aliases w:val="List Paragraph1 Char,List (Mannvit) Char,Numbered List Paragraph Char,References Char,Numbered Paragraph Char,Main numbered paragraph Char,List_Paragraph Char,Multilevel para_II Char,Bullets Char,123 List Paragraph Char,Liste 1 Char"/>
    <w:link w:val="ListParagraph"/>
    <w:uiPriority w:val="34"/>
    <w:rsid w:val="005A1B51"/>
    <w:rPr>
      <w:lang w:val="en-US"/>
    </w:rPr>
  </w:style>
  <w:style w:type="character" w:styleId="Strong">
    <w:name w:val="Strong"/>
    <w:basedOn w:val="DefaultParagraphFont"/>
    <w:uiPriority w:val="22"/>
    <w:qFormat/>
    <w:rsid w:val="005A1B51"/>
    <w:rPr>
      <w:b/>
      <w:bCs/>
    </w:rPr>
  </w:style>
  <w:style w:type="table" w:styleId="TableGrid">
    <w:name w:val="Table Grid"/>
    <w:basedOn w:val="TableNormal"/>
    <w:uiPriority w:val="39"/>
    <w:rsid w:val="005A1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A1B51"/>
    <w:pPr>
      <w:spacing w:before="100" w:beforeAutospacing="1" w:after="100" w:afterAutospacing="1"/>
    </w:pPr>
    <w:rPr>
      <w:rFonts w:eastAsiaTheme="minorHAnsi"/>
      <w:lang w:eastAsia="en-US"/>
    </w:rPr>
  </w:style>
  <w:style w:type="paragraph" w:customStyle="1" w:styleId="Default">
    <w:name w:val="Default"/>
    <w:rsid w:val="005A1B5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m4098323483560972057apple-converted-space">
    <w:name w:val="m_4098323483560972057apple-converted-space"/>
    <w:basedOn w:val="DefaultParagraphFont"/>
    <w:rsid w:val="005A1B51"/>
  </w:style>
  <w:style w:type="character" w:customStyle="1" w:styleId="UnresolvedMention1">
    <w:name w:val="Unresolved Mention1"/>
    <w:basedOn w:val="DefaultParagraphFont"/>
    <w:uiPriority w:val="99"/>
    <w:rsid w:val="005A1B51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5A1B51"/>
  </w:style>
  <w:style w:type="character" w:styleId="PlaceholderText">
    <w:name w:val="Placeholder Text"/>
    <w:basedOn w:val="DefaultParagraphFont"/>
    <w:uiPriority w:val="99"/>
    <w:semiHidden/>
    <w:rsid w:val="005A1B51"/>
    <w:rPr>
      <w:color w:val="808080"/>
    </w:rPr>
  </w:style>
  <w:style w:type="paragraph" w:customStyle="1" w:styleId="BVIfnrChar">
    <w:name w:val="BVI fnr Char"/>
    <w:aliases w:val="Footnotes refss Char,ftref Char,16 Point Char,Superscript 6 Point Char,Footnote Reference Number Char,nota pié di pagina Char,Times 10 Point Char,Exposant 3 Point Char,Footnote symbol Char,Footnote reference number Char"/>
    <w:basedOn w:val="Normal"/>
    <w:link w:val="FootnoteReference"/>
    <w:uiPriority w:val="99"/>
    <w:rsid w:val="005F3057"/>
    <w:pPr>
      <w:spacing w:line="240" w:lineRule="exact"/>
    </w:pPr>
    <w:rPr>
      <w:rFonts w:asciiTheme="minorHAnsi" w:eastAsiaTheme="minorHAnsi" w:hAnsiTheme="minorHAnsi" w:cstheme="minorBidi"/>
      <w:vertAlign w:val="superscript"/>
      <w:lang w:eastAsia="en-US"/>
    </w:rPr>
  </w:style>
  <w:style w:type="paragraph" w:customStyle="1" w:styleId="Normal1">
    <w:name w:val="Normal1"/>
    <w:basedOn w:val="Normal"/>
    <w:rsid w:val="00A745A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71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719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D2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2DF7"/>
    <w:rPr>
      <w:rFonts w:asciiTheme="minorHAnsi" w:eastAsiaTheme="minorHAnsi" w:hAnsiTheme="minorHAnsi" w:cstheme="minorBidi"/>
      <w:sz w:val="20"/>
      <w:szCs w:val="20"/>
      <w:lang w:val="sr-Latn-R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2DF7"/>
    <w:rPr>
      <w:sz w:val="20"/>
      <w:szCs w:val="20"/>
      <w:lang w:val="sr-Latn-RS"/>
    </w:rPr>
  </w:style>
  <w:style w:type="table" w:customStyle="1" w:styleId="GridTable5Dark-Accent51">
    <w:name w:val="Grid Table 5 Dark - Accent 51"/>
    <w:basedOn w:val="TableNormal"/>
    <w:uiPriority w:val="50"/>
    <w:rsid w:val="00767422"/>
    <w:rPr>
      <w:sz w:val="22"/>
      <w:szCs w:val="22"/>
      <w:lang w:val="sr-Latn-R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138B9"/>
    <w:rPr>
      <w:rFonts w:ascii="Tahoma" w:eastAsiaTheme="majorEastAsia" w:hAnsi="Tahoma" w:cs="Tahoma"/>
      <w:b/>
      <w:bCs/>
      <w:color w:val="2F5496"/>
      <w:sz w:val="28"/>
      <w:szCs w:val="28"/>
      <w:lang w:val="sr-Cyrl-R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56A3"/>
    <w:rPr>
      <w:color w:val="605E5C"/>
      <w:shd w:val="clear" w:color="auto" w:fill="E1DFDD"/>
    </w:rPr>
  </w:style>
  <w:style w:type="paragraph" w:customStyle="1" w:styleId="Lista1">
    <w:name w:val="Lista 1"/>
    <w:basedOn w:val="Normal"/>
    <w:link w:val="Lista1Char"/>
    <w:qFormat/>
    <w:rsid w:val="003B30BC"/>
    <w:pPr>
      <w:numPr>
        <w:numId w:val="13"/>
      </w:numPr>
      <w:ind w:left="568" w:hanging="284"/>
    </w:pPr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A62"/>
    <w:pPr>
      <w:spacing w:line="240" w:lineRule="auto"/>
    </w:pPr>
    <w:rPr>
      <w:rFonts w:ascii="Tahoma" w:eastAsia="Times New Roman" w:hAnsi="Tahoma" w:cs="Tahoma"/>
      <w:b/>
      <w:bCs/>
      <w:lang w:val="sr-Cyrl-RS" w:eastAsia="en-GB"/>
    </w:rPr>
  </w:style>
  <w:style w:type="character" w:customStyle="1" w:styleId="Lista1Char">
    <w:name w:val="Lista 1 Char"/>
    <w:basedOn w:val="DefaultParagraphFont"/>
    <w:link w:val="Lista1"/>
    <w:rsid w:val="003B30BC"/>
    <w:rPr>
      <w:rFonts w:ascii="Tahoma" w:eastAsia="Times New Roman" w:hAnsi="Tahoma" w:cs="Tahoma"/>
      <w:sz w:val="22"/>
      <w:szCs w:val="22"/>
      <w:lang w:val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A62"/>
    <w:rPr>
      <w:rFonts w:ascii="Tahoma" w:eastAsia="Times New Roman" w:hAnsi="Tahoma" w:cs="Tahoma"/>
      <w:b/>
      <w:bCs/>
      <w:sz w:val="20"/>
      <w:szCs w:val="20"/>
      <w:lang w:val="sr-Cyrl-RS" w:eastAsia="en-GB"/>
    </w:rPr>
  </w:style>
  <w:style w:type="paragraph" w:customStyle="1" w:styleId="Caption1">
    <w:name w:val="Caption 1"/>
    <w:basedOn w:val="Normal"/>
    <w:link w:val="Caption1Char"/>
    <w:qFormat/>
    <w:rsid w:val="000E16A9"/>
    <w:pPr>
      <w:spacing w:after="120" w:line="240" w:lineRule="auto"/>
      <w:jc w:val="left"/>
    </w:pPr>
    <w:rPr>
      <w:b/>
      <w:color w:val="2F5496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4AE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GridTable5Dark-Accent11">
    <w:name w:val="Grid Table 5 Dark - Accent 11"/>
    <w:basedOn w:val="TableNormal"/>
    <w:uiPriority w:val="50"/>
    <w:rsid w:val="00AB15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Caption1Char">
    <w:name w:val="Caption 1 Char"/>
    <w:basedOn w:val="DefaultParagraphFont"/>
    <w:link w:val="Caption1"/>
    <w:rsid w:val="000E16A9"/>
    <w:rPr>
      <w:rFonts w:ascii="Tahoma" w:eastAsia="Times New Roman" w:hAnsi="Tahoma" w:cs="Tahoma"/>
      <w:b/>
      <w:color w:val="2F5496"/>
      <w:sz w:val="20"/>
      <w:szCs w:val="22"/>
      <w:lang w:val="sr-Cyrl-RS" w:eastAsia="en-GB"/>
    </w:rPr>
  </w:style>
  <w:style w:type="table" w:customStyle="1" w:styleId="GridTable4-Accent51">
    <w:name w:val="Grid Table 4 - Accent 51"/>
    <w:basedOn w:val="TableNormal"/>
    <w:uiPriority w:val="49"/>
    <w:rsid w:val="00E76CB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PlainTable21">
    <w:name w:val="Plain Table 21"/>
    <w:basedOn w:val="TableNormal"/>
    <w:uiPriority w:val="42"/>
    <w:rsid w:val="006252E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eaf">
    <w:name w:val="leaf"/>
    <w:basedOn w:val="DefaultParagraphFont"/>
    <w:rsid w:val="009C1A2C"/>
  </w:style>
  <w:style w:type="table" w:customStyle="1" w:styleId="GridTable1Light-Accent11">
    <w:name w:val="Grid Table 1 Light - Accent 11"/>
    <w:basedOn w:val="TableNormal"/>
    <w:uiPriority w:val="46"/>
    <w:rsid w:val="001348F3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020285"/>
    <w:pPr>
      <w:jc w:val="both"/>
    </w:pPr>
    <w:rPr>
      <w:rFonts w:ascii="Tahoma" w:eastAsia="Times New Roman" w:hAnsi="Tahoma" w:cs="Tahoma"/>
      <w:sz w:val="22"/>
      <w:szCs w:val="22"/>
      <w:lang w:val="sr-Cyrl-RS" w:eastAsia="en-GB"/>
    </w:rPr>
  </w:style>
  <w:style w:type="paragraph" w:styleId="Revision">
    <w:name w:val="Revision"/>
    <w:hidden/>
    <w:uiPriority w:val="99"/>
    <w:semiHidden/>
    <w:rsid w:val="001252C1"/>
    <w:rPr>
      <w:rFonts w:ascii="Tahoma" w:eastAsia="Times New Roman" w:hAnsi="Tahoma" w:cs="Tahoma"/>
      <w:sz w:val="22"/>
      <w:szCs w:val="22"/>
      <w:lang w:val="sr-Cyrl-R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9993">
          <w:marLeft w:val="0"/>
          <w:marRight w:val="0"/>
          <w:marTop w:val="0"/>
          <w:marBottom w:val="0"/>
          <w:divBdr>
            <w:top w:val="single" w:sz="6" w:space="2" w:color="E3E3E3"/>
            <w:left w:val="none" w:sz="0" w:space="0" w:color="auto"/>
            <w:bottom w:val="single" w:sz="6" w:space="2" w:color="E3E3E3"/>
            <w:right w:val="none" w:sz="0" w:space="0" w:color="auto"/>
          </w:divBdr>
        </w:div>
      </w:divsChild>
    </w:div>
    <w:div w:id="629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2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etraga2.apr.gov.rs/APRMapePodsticaja/" TargetMode="External"/><Relationship Id="rId18" Type="http://schemas.openxmlformats.org/officeDocument/2006/relationships/chart" Target="charts/chart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chart" Target="charts/chart8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chart" Target="charts/chart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pretraga2.apr.gov.rs/APRMapePodsticaja/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chart" Target="charts/chart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etraga2.apr.gov.rs/APRMapePodsticaja/" TargetMode="External"/><Relationship Id="rId22" Type="http://schemas.openxmlformats.org/officeDocument/2006/relationships/chart" Target="charts/chart9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apija.com/news/2956114/hotel-u-banji-palanacki-kiseljak-ponudjen-na-prodaju" TargetMode="External"/><Relationship Id="rId13" Type="http://schemas.openxmlformats.org/officeDocument/2006/relationships/hyperlink" Target="https://www.nsz.gov.rs/sadrzaj/statisticki-bilteni-nsz/4111" TargetMode="External"/><Relationship Id="rId3" Type="http://schemas.openxmlformats.org/officeDocument/2006/relationships/hyperlink" Target="https://pretraga2.apr.gov.rs/APRMapePodsticaja/" TargetMode="External"/><Relationship Id="rId7" Type="http://schemas.openxmlformats.org/officeDocument/2006/relationships/hyperlink" Target="https://www.b92.net/biz/vesti/srbija/preuzeli-fabriku-ali-zele-da-nastave-da-rade-sa-atlantikom-i-pune-vodu-za-lidl-2177628" TargetMode="External"/><Relationship Id="rId12" Type="http://schemas.openxmlformats.org/officeDocument/2006/relationships/hyperlink" Target="https://www.stat.gov.rs/sr-Cyrl/istrazivanja/methodology-and-documents/?a=17&amp;s=0" TargetMode="External"/><Relationship Id="rId17" Type="http://schemas.openxmlformats.org/officeDocument/2006/relationships/hyperlink" Target="https://data.stat.gov.rs/?caller=SDDB" TargetMode="External"/><Relationship Id="rId2" Type="http://schemas.openxmlformats.org/officeDocument/2006/relationships/hyperlink" Target="https://pretraga2.apr.gov.rs/APRMapePodsticaja/" TargetMode="External"/><Relationship Id="rId16" Type="http://schemas.openxmlformats.org/officeDocument/2006/relationships/hyperlink" Target="https://mtt.gov.rs/tekst/93/sektor-za-turizam.php" TargetMode="External"/><Relationship Id="rId1" Type="http://schemas.openxmlformats.org/officeDocument/2006/relationships/hyperlink" Target="https://www.mfin.gov.rs/upload/media/rggPGL_613a0076e84a8.pdf" TargetMode="External"/><Relationship Id="rId6" Type="http://schemas.openxmlformats.org/officeDocument/2006/relationships/hyperlink" Target="https://privatizacija.privreda.gov.rs/" TargetMode="External"/><Relationship Id="rId11" Type="http://schemas.openxmlformats.org/officeDocument/2006/relationships/hyperlink" Target="https://data.stat.gov.rs/?caller=SDDB" TargetMode="External"/><Relationship Id="rId5" Type="http://schemas.openxmlformats.org/officeDocument/2006/relationships/hyperlink" Target="https://pretraga2.apr.gov.rs/APRMapePodsticaja/" TargetMode="External"/><Relationship Id="rId15" Type="http://schemas.openxmlformats.org/officeDocument/2006/relationships/hyperlink" Target="https://www.heritage.gov.rs/cirilica/nepokretna_kulturna_dobra.php" TargetMode="External"/><Relationship Id="rId10" Type="http://schemas.openxmlformats.org/officeDocument/2006/relationships/hyperlink" Target="https://ras.gov.rs/otvorena-fabrika-kyungshin-cable-u-smederevskoj-palanci-posao-za-700-ljudi" TargetMode="External"/><Relationship Id="rId4" Type="http://schemas.openxmlformats.org/officeDocument/2006/relationships/hyperlink" Target="https://pretraga2.apr.gov.rs/APRMapePodsticaja/" TargetMode="External"/><Relationship Id="rId9" Type="http://schemas.openxmlformats.org/officeDocument/2006/relationships/hyperlink" Target="file:///C:\Users\Aca\Downloads\&#1083;&#1080;&#1085;&#1082;" TargetMode="External"/><Relationship Id="rId14" Type="http://schemas.openxmlformats.org/officeDocument/2006/relationships/hyperlink" Target="https://www.nsz.gov.rs/sadrzaj/statisticki-bilteni-nsz/4111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39baa16f16106e79/Documents/Moji%20dokumenti%20SVE/Posao/Projekti/SKGO%20planovi%20razvoja/Statistika/AP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39baa16f16106e79/Documents/Moji%20dokumenti%20SVE/Posao/Projekti/SKGO%20planovi%20razvoja/Statistika/APR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https://d.docs.live.net/39baa16f16106e79/Documents/Moji%20dokumenti%20SVE/Posao/Projekti/SKGO%20planovi%20razvoja/Statistika/Preracunavanja%20za%20investicij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39baa16f16106e79/Documents/Moji%20dokumenti%20SVE/Posao/Projekti/SKGO%20planovi%20razvoja/Statistika/Preracunavanja%20za%20investicij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39baa16f16106e79/Documents/Moji%20dokumenti%20SVE/Posao/Projekti/SKGO%20planovi%20razvoja/Statistika/Preracunavanja%20za%20investicije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39baa16f16106e79/Documents/Moji%20dokumenti%20SVE/Posao/Projekti/SKGO%20planovi%20razvoja/Statistika/Preracunavanja%20za%20investicije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39baa16f16106e79/Documents/Moji%20dokumenti%20SVE/Posao/Projekti/SKGO%20planovi%20razvoja/Statistika/RZS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39baa16f16106e79/Documents/Moji%20dokumenti%20SVE/Posao/Projekti/SKGO%20planovi%20razvoja/Statistika/RZS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39baa16f16106e79/Documents/Moji%20dokumenti%20SVE/Posao/Projekti/SKGO%20planovi%20razvoja/Statistika/RZ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rgbClr val="2F5496"/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r>
              <a:rPr lang="sr-Cyrl-RS" sz="1100" b="1">
                <a:solidFill>
                  <a:srgbClr val="2F5496"/>
                </a:solidFill>
              </a:rPr>
              <a:t>Привредна друштва</a:t>
            </a:r>
            <a:endParaRPr lang="en-GB" sz="1100" b="1">
              <a:solidFill>
                <a:srgbClr val="2F5496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891351956801578"/>
          <c:y val="0.16203703703703703"/>
          <c:w val="0.82862363542136852"/>
          <c:h val="0.6246602508019831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[APR.xlsx]подаци!$A$23</c:f>
              <c:strCache>
                <c:ptCount val="1"/>
                <c:pt idx="0">
                  <c:v>Активна</c:v>
                </c:pt>
              </c:strCache>
            </c:strRef>
          </c:tx>
          <c:spPr>
            <a:solidFill>
              <a:srgbClr val="2F5496"/>
            </a:solidFill>
            <a:ln>
              <a:noFill/>
            </a:ln>
            <a:effectLst/>
          </c:spPr>
          <c:invertIfNegative val="0"/>
          <c:cat>
            <c:numRef>
              <c:f>[APR.xlsx]подаци!$V$22:$Y$22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[APR.xlsx]подаци!$DV$23:$DY$23</c:f>
              <c:numCache>
                <c:formatCode>#,##0</c:formatCode>
                <c:ptCount val="4"/>
                <c:pt idx="0">
                  <c:v>524</c:v>
                </c:pt>
                <c:pt idx="1">
                  <c:v>429</c:v>
                </c:pt>
                <c:pt idx="2">
                  <c:v>402</c:v>
                </c:pt>
                <c:pt idx="3">
                  <c:v>403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4A-4DAE-81ED-3CFCD2E33D4C}"/>
            </c:ext>
          </c:extLst>
        </c:ser>
        <c:ser>
          <c:idx val="1"/>
          <c:order val="1"/>
          <c:tx>
            <c:strRef>
              <c:f>[APR.xlsx]подаци!$A$24</c:f>
              <c:strCache>
                <c:ptCount val="1"/>
                <c:pt idx="0">
                  <c:v>Новооснована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[APR.xlsx]подаци!$V$22:$Y$22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[APR.xlsx]подаци!$DV$24:$DY$24</c:f>
              <c:numCache>
                <c:formatCode>#,##0</c:formatCode>
                <c:ptCount val="4"/>
                <c:pt idx="0">
                  <c:v>22</c:v>
                </c:pt>
                <c:pt idx="1">
                  <c:v>33</c:v>
                </c:pt>
                <c:pt idx="2">
                  <c:v>25</c:v>
                </c:pt>
                <c:pt idx="3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34A-4DAE-81ED-3CFCD2E33D4C}"/>
            </c:ext>
          </c:extLst>
        </c:ser>
        <c:ser>
          <c:idx val="2"/>
          <c:order val="2"/>
          <c:tx>
            <c:strRef>
              <c:f>[APR.xlsx]подаци!$A$25</c:f>
              <c:strCache>
                <c:ptCount val="1"/>
                <c:pt idx="0">
                  <c:v>Брисана/угашена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[APR.xlsx]подаци!$V$22:$Y$22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[APR.xlsx]подаци!$DV$25:$DY$25</c:f>
              <c:numCache>
                <c:formatCode>#,##0</c:formatCode>
                <c:ptCount val="4"/>
                <c:pt idx="0">
                  <c:v>10</c:v>
                </c:pt>
                <c:pt idx="1">
                  <c:v>129</c:v>
                </c:pt>
                <c:pt idx="2">
                  <c:v>52</c:v>
                </c:pt>
                <c:pt idx="3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34A-4DAE-81ED-3CFCD2E33D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5"/>
        <c:axId val="62474112"/>
        <c:axId val="63866368"/>
      </c:barChart>
      <c:catAx>
        <c:axId val="62474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63866368"/>
        <c:crosses val="autoZero"/>
        <c:auto val="1"/>
        <c:lblAlgn val="ctr"/>
        <c:lblOffset val="100"/>
        <c:noMultiLvlLbl val="0"/>
      </c:catAx>
      <c:valAx>
        <c:axId val="63866368"/>
        <c:scaling>
          <c:orientation val="minMax"/>
          <c:max val="6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62474112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0275841316013843E-2"/>
          <c:y val="0.89464676290463696"/>
          <c:w val="0.96369426751592357"/>
          <c:h val="7.757545931758530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ahoma" panose="020B0604030504040204" pitchFamily="34" charset="0"/>
          <a:ea typeface="Tahoma" panose="020B0604030504040204" pitchFamily="34" charset="0"/>
          <a:cs typeface="Tahoma" panose="020B060403050404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rgbClr val="2F5496"/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r>
              <a:rPr lang="sr-Cyrl-RS" sz="1100" b="1">
                <a:solidFill>
                  <a:srgbClr val="2F5496"/>
                </a:solidFill>
              </a:rPr>
              <a:t>Предузетници</a:t>
            </a:r>
            <a:endParaRPr lang="en-GB" sz="1100" b="1">
              <a:solidFill>
                <a:srgbClr val="2F5496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891351956801578"/>
          <c:y val="0.16203703703703703"/>
          <c:w val="0.82862363542136852"/>
          <c:h val="0.614443137136593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[APR.xlsx]подаци!$A$28</c:f>
              <c:strCache>
                <c:ptCount val="1"/>
                <c:pt idx="0">
                  <c:v>Активни</c:v>
                </c:pt>
              </c:strCache>
            </c:strRef>
          </c:tx>
          <c:spPr>
            <a:solidFill>
              <a:srgbClr val="2F5496"/>
            </a:solidFill>
            <a:ln>
              <a:noFill/>
            </a:ln>
            <a:effectLst/>
          </c:spPr>
          <c:invertIfNegative val="0"/>
          <c:cat>
            <c:numRef>
              <c:f>[APR.xlsx]подаци!$V$27:$Y$27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[APR.xlsx]подаци!$DV$28:$DY$28</c:f>
              <c:numCache>
                <c:formatCode>#,##0</c:formatCode>
                <c:ptCount val="4"/>
                <c:pt idx="0">
                  <c:v>1578</c:v>
                </c:pt>
                <c:pt idx="1">
                  <c:v>1687</c:v>
                </c:pt>
                <c:pt idx="2">
                  <c:v>1767</c:v>
                </c:pt>
                <c:pt idx="3">
                  <c:v>1820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AF-4C8A-99E6-419C213AFC70}"/>
            </c:ext>
          </c:extLst>
        </c:ser>
        <c:ser>
          <c:idx val="2"/>
          <c:order val="1"/>
          <c:tx>
            <c:strRef>
              <c:f>[APR.xlsx]подаци!$A$29</c:f>
              <c:strCache>
                <c:ptCount val="1"/>
                <c:pt idx="0">
                  <c:v>Новоосновани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  <a:effectLst/>
          </c:spPr>
          <c:invertIfNegative val="0"/>
          <c:cat>
            <c:numRef>
              <c:f>[APR.xlsx]подаци!$V$27:$Y$27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[APR.xlsx]подаци!$DV$29:$DY$29</c:f>
              <c:numCache>
                <c:formatCode>#,##0</c:formatCode>
                <c:ptCount val="4"/>
                <c:pt idx="0">
                  <c:v>220</c:v>
                </c:pt>
                <c:pt idx="1">
                  <c:v>261</c:v>
                </c:pt>
                <c:pt idx="2">
                  <c:v>193</c:v>
                </c:pt>
                <c:pt idx="3">
                  <c:v>204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DAF-4C8A-99E6-419C213AFC70}"/>
            </c:ext>
          </c:extLst>
        </c:ser>
        <c:ser>
          <c:idx val="3"/>
          <c:order val="2"/>
          <c:tx>
            <c:strRef>
              <c:f>[APR.xlsx]подаци!$A$30</c:f>
              <c:strCache>
                <c:ptCount val="1"/>
                <c:pt idx="0">
                  <c:v>Брисани/угашени</c:v>
                </c:pt>
              </c:strCache>
            </c:strRef>
          </c:tx>
          <c:spPr>
            <a:solidFill>
              <a:srgbClr val="A5A5A5"/>
            </a:solidFill>
            <a:ln>
              <a:noFill/>
            </a:ln>
            <a:effectLst/>
          </c:spPr>
          <c:invertIfNegative val="0"/>
          <c:cat>
            <c:numRef>
              <c:f>[APR.xlsx]подаци!$V$27:$Y$27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[APR.xlsx]подаци!$DV$30:$DY$30</c:f>
              <c:numCache>
                <c:formatCode>#,##0</c:formatCode>
                <c:ptCount val="4"/>
                <c:pt idx="0">
                  <c:v>138</c:v>
                </c:pt>
                <c:pt idx="1">
                  <c:v>152</c:v>
                </c:pt>
                <c:pt idx="2">
                  <c:v>119</c:v>
                </c:pt>
                <c:pt idx="3">
                  <c:v>149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DAF-4C8A-99E6-419C213AFC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5"/>
        <c:axId val="72861184"/>
        <c:axId val="72862720"/>
        <c:extLst/>
      </c:barChart>
      <c:catAx>
        <c:axId val="72861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72862720"/>
        <c:crosses val="autoZero"/>
        <c:auto val="1"/>
        <c:lblAlgn val="ctr"/>
        <c:lblOffset val="100"/>
        <c:noMultiLvlLbl val="0"/>
      </c:catAx>
      <c:valAx>
        <c:axId val="72862720"/>
        <c:scaling>
          <c:orientation val="minMax"/>
          <c:max val="2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72861184"/>
        <c:crosses val="autoZero"/>
        <c:crossBetween val="between"/>
        <c:majorUnit val="5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6029556814952273E-2"/>
          <c:y val="0.89464676290463696"/>
          <c:w val="0.9721868365180466"/>
          <c:h val="7.757545931758530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ahoma" panose="020B0604030504040204" pitchFamily="34" charset="0"/>
          <a:ea typeface="Tahoma" panose="020B0604030504040204" pitchFamily="34" charset="0"/>
          <a:cs typeface="Tahoma" panose="020B0604030504040204" pitchFamily="34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9752066115702479E-2"/>
          <c:y val="7.3746538563413525E-2"/>
          <c:w val="0.92727272727272725"/>
          <c:h val="0.5387037740972033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'[Preracunavanja za investicije.xlsx]grafikoni'!$B$23</c:f>
              <c:strCache>
                <c:ptCount val="1"/>
                <c:pt idx="0">
                  <c:v>нови капацитети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'[Preracunavanja za investicije.xlsx]grafikoni'!$A$20,'[Preracunavanja za investicije.xlsx]grafikoni'!$A$23,'[Preracunavanja za investicije.xlsx]grafikoni'!$A$26,'[Preracunavanja za investicije.xlsx]grafikoni'!$A$29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'[Preracunavanja za investicije.xlsx]grafikoni'!$M$20,'[Preracunavanja za investicije.xlsx]grafikoni'!$M$23,'[Preracunavanja za investicije.xlsx]grafikoni'!$M$26,'[Preracunavanja za investicije.xlsx]grafikoni'!$M$29</c:f>
              <c:numCache>
                <c:formatCode>#,##0</c:formatCode>
                <c:ptCount val="4"/>
                <c:pt idx="0">
                  <c:v>2416</c:v>
                </c:pt>
                <c:pt idx="1">
                  <c:v>1146</c:v>
                </c:pt>
                <c:pt idx="2">
                  <c:v>29286</c:v>
                </c:pt>
                <c:pt idx="3">
                  <c:v>3688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72-4EFF-96E9-6034C1D0C844}"/>
            </c:ext>
          </c:extLst>
        </c:ser>
        <c:ser>
          <c:idx val="1"/>
          <c:order val="1"/>
          <c:tx>
            <c:strRef>
              <c:f>'[Preracunavanja za investicije.xlsx]grafikoni'!$B$24</c:f>
              <c:strCache>
                <c:ptCount val="1"/>
                <c:pt idx="0">
                  <c:v>реконстр., модернизација, доградња и проширење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'[Preracunavanja za investicije.xlsx]grafikoni'!$A$20,'[Preracunavanja za investicije.xlsx]grafikoni'!$A$23,'[Preracunavanja za investicije.xlsx]grafikoni'!$A$26,'[Preracunavanja za investicije.xlsx]grafikoni'!$A$29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'[Preracunavanja za investicije.xlsx]grafikoni'!$M$21,'[Preracunavanja za investicije.xlsx]grafikoni'!$M$24,'[Preracunavanja za investicije.xlsx]grafikoni'!$M$27,'[Preracunavanja za investicije.xlsx]grafikoni'!$M$30</c:f>
              <c:numCache>
                <c:formatCode>#,##0</c:formatCode>
                <c:ptCount val="4"/>
                <c:pt idx="0">
                  <c:v>423376</c:v>
                </c:pt>
                <c:pt idx="1">
                  <c:v>293434</c:v>
                </c:pt>
                <c:pt idx="2">
                  <c:v>624940</c:v>
                </c:pt>
                <c:pt idx="3">
                  <c:v>843401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72-4EFF-96E9-6034C1D0C844}"/>
            </c:ext>
          </c:extLst>
        </c:ser>
        <c:ser>
          <c:idx val="2"/>
          <c:order val="2"/>
          <c:tx>
            <c:strRef>
              <c:f>'[Preracunavanja za investicije.xlsx]grafikoni'!$B$25</c:f>
              <c:strCache>
                <c:ptCount val="1"/>
                <c:pt idx="0">
                  <c:v>одржавање постојећих капацитета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'[Preracunavanja za investicije.xlsx]grafikoni'!$A$20,'[Preracunavanja za investicije.xlsx]grafikoni'!$A$23,'[Preracunavanja za investicije.xlsx]grafikoni'!$A$26,'[Preracunavanja za investicije.xlsx]grafikoni'!$A$29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'[Preracunavanja za investicije.xlsx]grafikoni'!$M$22,'[Preracunavanja za investicije.xlsx]grafikoni'!$M$25,'[Preracunavanja za investicije.xlsx]grafikoni'!$M$28,'[Preracunavanja za investicije.xlsx]grafikoni'!$M$31</c:f>
              <c:numCache>
                <c:formatCode>#,##0</c:formatCode>
                <c:ptCount val="4"/>
                <c:pt idx="0">
                  <c:v>31902</c:v>
                </c:pt>
                <c:pt idx="1">
                  <c:v>6696</c:v>
                </c:pt>
                <c:pt idx="2">
                  <c:v>7674</c:v>
                </c:pt>
                <c:pt idx="3">
                  <c:v>3673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672-4EFF-96E9-6034C1D0C8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00704640"/>
        <c:axId val="100706944"/>
      </c:barChart>
      <c:catAx>
        <c:axId val="10070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100706944"/>
        <c:crossesAt val="0"/>
        <c:auto val="1"/>
        <c:lblAlgn val="ctr"/>
        <c:lblOffset val="100"/>
        <c:noMultiLvlLbl val="0"/>
      </c:catAx>
      <c:valAx>
        <c:axId val="100706944"/>
        <c:scaling>
          <c:orientation val="minMax"/>
          <c:max val="900000"/>
          <c:min val="0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out"/>
        <c:minorTickMark val="none"/>
        <c:tickLblPos val="nextTo"/>
        <c:crossAx val="100704640"/>
        <c:crosses val="autoZero"/>
        <c:crossBetween val="between"/>
        <c:majorUnit val="3000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391732283464564"/>
          <c:y val="0.74621992940537618"/>
          <c:w val="0.74411937731921451"/>
          <c:h val="0.249351055888656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ahoma" panose="020B0604030504040204" pitchFamily="34" charset="0"/>
          <a:ea typeface="Tahoma" panose="020B0604030504040204" pitchFamily="34" charset="0"/>
          <a:cs typeface="Tahoma" panose="020B0604030504040204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rgbClr val="2F5496"/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r>
              <a:rPr lang="sr-Cyrl-RS" sz="1100" b="1">
                <a:solidFill>
                  <a:srgbClr val="2F5496"/>
                </a:solidFill>
              </a:rPr>
              <a:t>Према карактеру изградње</a:t>
            </a:r>
            <a:endParaRPr lang="en-GB" sz="1100" b="1">
              <a:solidFill>
                <a:srgbClr val="2F5496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0478380864765406E-2"/>
          <c:y val="0.15732879134789002"/>
          <c:w val="0.91904323827046919"/>
          <c:h val="0.438345898252080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'[Preracunavanja za investicije.xlsx]2017-2020 учешћа'!$A$4</c:f>
              <c:strCache>
                <c:ptCount val="1"/>
                <c:pt idx="0">
                  <c:v>Нови капацитети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'[Preracunavanja za investicije.xlsx]2017-2020 учешћа'!$B$2,'[Preracunavanja za investicije.xlsx]2017-2020 учешћа'!$K$2:$L$2</c:f>
              <c:strCache>
                <c:ptCount val="3"/>
                <c:pt idx="0">
                  <c:v>Република</c:v>
                </c:pt>
                <c:pt idx="1">
                  <c:v>Подунавска област</c:v>
                </c:pt>
                <c:pt idx="2">
                  <c:v>Смедеревска Паланка</c:v>
                </c:pt>
              </c:strCache>
            </c:strRef>
          </c:cat>
          <c:val>
            <c:numRef>
              <c:f>'[Preracunavanja za investicije.xlsx]2017-2020 учешћа'!$B$4,'[Preracunavanja za investicije.xlsx]2017-2020 учешћа'!$K$4:$L$4</c:f>
              <c:numCache>
                <c:formatCode>0.0%</c:formatCode>
                <c:ptCount val="3"/>
                <c:pt idx="0">
                  <c:v>0.46438025607011341</c:v>
                </c:pt>
                <c:pt idx="1">
                  <c:v>0.10353154769219775</c:v>
                </c:pt>
                <c:pt idx="2">
                  <c:v>1.6083591004176733E-2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B6-4326-8C48-1DFE5CD43FD5}"/>
            </c:ext>
          </c:extLst>
        </c:ser>
        <c:ser>
          <c:idx val="1"/>
          <c:order val="1"/>
          <c:tx>
            <c:strRef>
              <c:f>'[Preracunavanja za investicije.xlsx]2017-2020 учешћа'!$A$5</c:f>
              <c:strCache>
                <c:ptCount val="1"/>
                <c:pt idx="0">
                  <c:v>Реконстр., модернизација, доградња и проширење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'[Preracunavanja za investicije.xlsx]2017-2020 учешћа'!$B$2,'[Preracunavanja za investicije.xlsx]2017-2020 учешћа'!$K$2:$L$2</c:f>
              <c:strCache>
                <c:ptCount val="3"/>
                <c:pt idx="0">
                  <c:v>Република</c:v>
                </c:pt>
                <c:pt idx="1">
                  <c:v>Подунавска област</c:v>
                </c:pt>
                <c:pt idx="2">
                  <c:v>Смедеревска Паланка</c:v>
                </c:pt>
              </c:strCache>
            </c:strRef>
          </c:cat>
          <c:val>
            <c:numRef>
              <c:f>'[Preracunavanja za investicije.xlsx]2017-2020 учешћа'!$B$5,'[Preracunavanja za investicije.xlsx]2017-2020 учешћа'!$K$5:$L$5</c:f>
              <c:numCache>
                <c:formatCode>0.0%</c:formatCode>
                <c:ptCount val="3"/>
                <c:pt idx="0">
                  <c:v>0.4143856400501027</c:v>
                </c:pt>
                <c:pt idx="1">
                  <c:v>0.70451054489347908</c:v>
                </c:pt>
                <c:pt idx="2">
                  <c:v>0.96193001331201533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B6-4326-8C48-1DFE5CD43FD5}"/>
            </c:ext>
          </c:extLst>
        </c:ser>
        <c:ser>
          <c:idx val="2"/>
          <c:order val="2"/>
          <c:tx>
            <c:strRef>
              <c:f>'[Preracunavanja za investicije.xlsx]2017-2020 учешћа'!$A$6</c:f>
              <c:strCache>
                <c:ptCount val="1"/>
                <c:pt idx="0">
                  <c:v>Одржавање нивоа постојећих капацитета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'[Preracunavanja za investicije.xlsx]2017-2020 учешћа'!$B$2,'[Preracunavanja za investicije.xlsx]2017-2020 учешћа'!$K$2:$L$2</c:f>
              <c:strCache>
                <c:ptCount val="3"/>
                <c:pt idx="0">
                  <c:v>Република</c:v>
                </c:pt>
                <c:pt idx="1">
                  <c:v>Подунавска област</c:v>
                </c:pt>
                <c:pt idx="2">
                  <c:v>Смедеревска Паланка</c:v>
                </c:pt>
              </c:strCache>
            </c:strRef>
          </c:cat>
          <c:val>
            <c:numRef>
              <c:f>'[Preracunavanja za investicije.xlsx]2017-2020 учешћа'!$B$6,'[Preracunavanja za investicije.xlsx]2017-2020 учешћа'!$K$6:$L$6</c:f>
              <c:numCache>
                <c:formatCode>0.0%</c:formatCode>
                <c:ptCount val="3"/>
                <c:pt idx="0">
                  <c:v>0.12123410419182722</c:v>
                </c:pt>
                <c:pt idx="1">
                  <c:v>0.1919579074143232</c:v>
                </c:pt>
                <c:pt idx="2">
                  <c:v>2.198639568380794E-2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0B6-4326-8C48-1DFE5CD43F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3299584"/>
        <c:axId val="136054272"/>
      </c:barChart>
      <c:catAx>
        <c:axId val="133299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136054272"/>
        <c:crosses val="autoZero"/>
        <c:auto val="1"/>
        <c:lblAlgn val="ctr"/>
        <c:lblOffset val="100"/>
        <c:noMultiLvlLbl val="0"/>
      </c:catAx>
      <c:valAx>
        <c:axId val="136054272"/>
        <c:scaling>
          <c:orientation val="minMax"/>
          <c:max val="1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33299584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8277205919637231E-2"/>
          <c:y val="0.72114927123471262"/>
          <c:w val="0.93456671181971618"/>
          <c:h val="0.226841272500511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latin typeface="Tahoma" panose="020B0604030504040204" pitchFamily="34" charset="0"/>
          <a:ea typeface="Tahoma" panose="020B0604030504040204" pitchFamily="34" charset="0"/>
          <a:cs typeface="Tahoma" panose="020B0604030504040204" pitchFamily="34" charset="0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rgbClr val="2F5496"/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r>
              <a:rPr lang="sr-Cyrl-RS" sz="1100" b="1">
                <a:solidFill>
                  <a:srgbClr val="2F5496"/>
                </a:solidFill>
              </a:rPr>
              <a:t>Према техничкој структури</a:t>
            </a:r>
            <a:endParaRPr lang="en-GB" sz="1100" b="1">
              <a:solidFill>
                <a:srgbClr val="2F5496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1.1039558417663294E-2"/>
          <c:y val="0.15732879134789002"/>
          <c:w val="0.94848206071757135"/>
          <c:h val="0.4387891113610797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'[Preracunavanja za investicije.xlsx]2017-2020 учешћа'!$A$9</c:f>
              <c:strCache>
                <c:ptCount val="1"/>
                <c:pt idx="0">
                  <c:v>Грађевински радови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'[Preracunavanja za investicije.xlsx]2017-2020 учешћа'!$B$2,'[Preracunavanja za investicije.xlsx]2017-2020 учешћа'!$K$2:$L$2</c:f>
              <c:strCache>
                <c:ptCount val="3"/>
                <c:pt idx="0">
                  <c:v>Република</c:v>
                </c:pt>
                <c:pt idx="1">
                  <c:v>Подунавска област</c:v>
                </c:pt>
                <c:pt idx="2">
                  <c:v>Смедеревска Паланка</c:v>
                </c:pt>
              </c:strCache>
            </c:strRef>
          </c:cat>
          <c:val>
            <c:numRef>
              <c:f>'[Preracunavanja za investicije.xlsx]2017-2020 учешћа'!$B$9,'[Preracunavanja za investicije.xlsx]2017-2020 учешћа'!$K$9:$L$9</c:f>
              <c:numCache>
                <c:formatCode>0.0%</c:formatCode>
                <c:ptCount val="3"/>
                <c:pt idx="0">
                  <c:v>0.47295337410920629</c:v>
                </c:pt>
                <c:pt idx="1">
                  <c:v>0.28817527925570136</c:v>
                </c:pt>
                <c:pt idx="2">
                  <c:v>0.24764266395261203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26-482F-B202-B2C7E7DE73A8}"/>
            </c:ext>
          </c:extLst>
        </c:ser>
        <c:ser>
          <c:idx val="2"/>
          <c:order val="1"/>
          <c:tx>
            <c:strRef>
              <c:f>'[Preracunavanja za investicije.xlsx]2017-2020 учешћа'!$A$13</c:f>
              <c:strCache>
                <c:ptCount val="1"/>
                <c:pt idx="0">
                  <c:v>Опрема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'[Preracunavanja za investicije.xlsx]2017-2020 учешћа'!$B$2,'[Preracunavanja za investicije.xlsx]2017-2020 учешћа'!$K$2:$L$2</c:f>
              <c:strCache>
                <c:ptCount val="3"/>
                <c:pt idx="0">
                  <c:v>Република</c:v>
                </c:pt>
                <c:pt idx="1">
                  <c:v>Подунавска област</c:v>
                </c:pt>
                <c:pt idx="2">
                  <c:v>Смедеревска Паланка</c:v>
                </c:pt>
              </c:strCache>
            </c:strRef>
          </c:cat>
          <c:val>
            <c:numRef>
              <c:f>'[Preracunavanja za investicije.xlsx]2017-2020 учешћа'!$B$13,'[Preracunavanja za investicije.xlsx]2017-2020 учешћа'!$K$13:$L$13</c:f>
              <c:numCache>
                <c:formatCode>0.0%</c:formatCode>
                <c:ptCount val="3"/>
                <c:pt idx="0">
                  <c:v>0.46279312725030608</c:v>
                </c:pt>
                <c:pt idx="1">
                  <c:v>0.70204095303974001</c:v>
                </c:pt>
                <c:pt idx="2">
                  <c:v>0.71498376497601723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26-482F-B202-B2C7E7DE73A8}"/>
            </c:ext>
          </c:extLst>
        </c:ser>
        <c:ser>
          <c:idx val="1"/>
          <c:order val="2"/>
          <c:tx>
            <c:strRef>
              <c:f>'[Preracunavanja za investicije.xlsx]2017-2020 учешћа'!$A$12</c:f>
              <c:strCache>
                <c:ptCount val="1"/>
                <c:pt idx="0">
                  <c:v>Остало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'[Preracunavanja za investicije.xlsx]2017-2020 учешћа'!$B$2,'[Preracunavanja za investicije.xlsx]2017-2020 учешћа'!$K$2:$L$2</c:f>
              <c:strCache>
                <c:ptCount val="3"/>
                <c:pt idx="0">
                  <c:v>Република</c:v>
                </c:pt>
                <c:pt idx="1">
                  <c:v>Подунавска област</c:v>
                </c:pt>
                <c:pt idx="2">
                  <c:v>Смедеревска Паланка</c:v>
                </c:pt>
              </c:strCache>
            </c:strRef>
          </c:cat>
          <c:val>
            <c:numRef>
              <c:f>'[Preracunavanja za investicije.xlsx]2017-2020 учешћа'!$B$12,'[Preracunavanja za investicije.xlsx]2017-2020 учешћа'!$K$12:$L$12</c:f>
              <c:numCache>
                <c:formatCode>0.0%</c:formatCode>
                <c:ptCount val="3"/>
                <c:pt idx="0">
                  <c:v>6.42534986404876E-2</c:v>
                </c:pt>
                <c:pt idx="1">
                  <c:v>9.7837677045586012E-3</c:v>
                </c:pt>
                <c:pt idx="2">
                  <c:v>3.7373571071370716E-2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926-482F-B202-B2C7E7DE73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4020224"/>
        <c:axId val="144021760"/>
      </c:barChart>
      <c:catAx>
        <c:axId val="144020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144021760"/>
        <c:crosses val="autoZero"/>
        <c:auto val="1"/>
        <c:lblAlgn val="ctr"/>
        <c:lblOffset val="100"/>
        <c:noMultiLvlLbl val="0"/>
      </c:catAx>
      <c:valAx>
        <c:axId val="144021760"/>
        <c:scaling>
          <c:orientation val="minMax"/>
          <c:max val="1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44020224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277637975665413"/>
          <c:y val="0.77250483689538829"/>
          <c:w val="0.77396373751349157"/>
          <c:h val="7.92260010051934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latin typeface="Tahoma" panose="020B0604030504040204" pitchFamily="34" charset="0"/>
          <a:ea typeface="Tahoma" panose="020B0604030504040204" pitchFamily="34" charset="0"/>
          <a:cs typeface="Tahoma" panose="020B0604030504040204" pitchFamily="34" charset="0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2130860230757993E-2"/>
          <c:y val="0.10916013437849945"/>
          <c:w val="0.93573827953848399"/>
          <c:h val="0.39182548430046477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rgbClr val="2F549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7.902207563598616E-18"/>
                  <c:y val="-0.2501157736022078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CC8-4FD8-A9AC-CE92EB058221}"/>
                </c:ext>
              </c:extLst>
            </c:dLbl>
            <c:dLbl>
              <c:idx val="1"/>
              <c:layout>
                <c:manualLayout>
                  <c:x val="3.4482758620689655E-3"/>
                  <c:y val="-0.1293183200924072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CC8-4FD8-A9AC-CE92EB058221}"/>
                </c:ext>
              </c:extLst>
            </c:dLbl>
            <c:dLbl>
              <c:idx val="2"/>
              <c:layout>
                <c:manualLayout>
                  <c:x val="0"/>
                  <c:y val="-7.041080671187098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CC8-4FD8-A9AC-CE92EB058221}"/>
                </c:ext>
              </c:extLst>
            </c:dLbl>
            <c:dLbl>
              <c:idx val="3"/>
              <c:layout>
                <c:manualLayout>
                  <c:x val="0"/>
                  <c:y val="-6.69063847422207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CC8-4FD8-A9AC-CE92EB058221}"/>
                </c:ext>
              </c:extLst>
            </c:dLbl>
            <c:dLbl>
              <c:idx val="4"/>
              <c:layout>
                <c:manualLayout>
                  <c:x val="0"/>
                  <c:y val="-5.230180493955612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CC8-4FD8-A9AC-CE92EB058221}"/>
                </c:ext>
              </c:extLst>
            </c:dLbl>
            <c:dLbl>
              <c:idx val="5"/>
              <c:layout>
                <c:manualLayout>
                  <c:x val="3.4482758620689655E-3"/>
                  <c:y val="-5.47107423442170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CC8-4FD8-A9AC-CE92EB058221}"/>
                </c:ext>
              </c:extLst>
            </c:dLbl>
            <c:dLbl>
              <c:idx val="6"/>
              <c:layout>
                <c:manualLayout>
                  <c:x val="0"/>
                  <c:y val="-4.067189249720044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CC8-4FD8-A9AC-CE92EB058221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'[Preracunavanja za investicije.xlsx]grafikoni'!$S$53:$S$59</c:f>
              <c:strCache>
                <c:ptCount val="7"/>
                <c:pt idx="0">
                  <c:v>Прерађивачка индустрија</c:v>
                </c:pt>
                <c:pt idx="1">
                  <c:v>Грађевинарство</c:v>
                </c:pt>
                <c:pt idx="2">
                  <c:v>Трговина</c:v>
                </c:pt>
                <c:pt idx="3">
                  <c:v>Здравство и соц. заштита</c:v>
                </c:pt>
                <c:pt idx="4">
                  <c:v>Образовање</c:v>
                </c:pt>
                <c:pt idx="5">
                  <c:v>Пољопр, шумарство</c:v>
                </c:pt>
                <c:pt idx="6">
                  <c:v>Снабдевање водом и управљање отпад. водама</c:v>
                </c:pt>
              </c:strCache>
            </c:strRef>
          </c:cat>
          <c:val>
            <c:numRef>
              <c:f>'[Preracunavanja za investicije.xlsx]grafikoni'!$T$53:$T$59</c:f>
              <c:numCache>
                <c:formatCode>0.0%</c:formatCode>
                <c:ptCount val="7"/>
                <c:pt idx="0">
                  <c:v>0.54685882220359638</c:v>
                </c:pt>
                <c:pt idx="1">
                  <c:v>0.19525829887939597</c:v>
                </c:pt>
                <c:pt idx="2">
                  <c:v>8.0006796875550262E-2</c:v>
                </c:pt>
                <c:pt idx="3">
                  <c:v>4.8416292779816447E-2</c:v>
                </c:pt>
                <c:pt idx="4">
                  <c:v>3.4105436091761344E-2</c:v>
                </c:pt>
                <c:pt idx="5">
                  <c:v>2.8857667086922528E-2</c:v>
                </c:pt>
                <c:pt idx="6">
                  <c:v>2.7334092846024356E-2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CC8-4FD8-A9AC-CE92EB0582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00694656"/>
        <c:axId val="100712832"/>
      </c:barChart>
      <c:catAx>
        <c:axId val="100694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100712832"/>
        <c:crosses val="autoZero"/>
        <c:auto val="1"/>
        <c:lblAlgn val="ctr"/>
        <c:lblOffset val="100"/>
        <c:noMultiLvlLbl val="0"/>
      </c:catAx>
      <c:valAx>
        <c:axId val="100712832"/>
        <c:scaling>
          <c:orientation val="minMax"/>
          <c:max val="0.55000000000000004"/>
          <c:min val="0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out"/>
        <c:minorTickMark val="none"/>
        <c:tickLblPos val="nextTo"/>
        <c:crossAx val="100694656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Tahoma" panose="020B0604030504040204" pitchFamily="34" charset="0"/>
          <a:ea typeface="Tahoma" panose="020B0604030504040204" pitchFamily="34" charset="0"/>
          <a:cs typeface="Tahoma" panose="020B0604030504040204" pitchFamily="34" charset="0"/>
        </a:defRPr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6559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'[RZS.xlsx]Трж рада прерачунавање'!$A$5:$A$9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'[RZS.xlsx]Трж рада прерачунавање'!$L$5:$L$9</c:f>
              <c:numCache>
                <c:formatCode>#,##0</c:formatCode>
                <c:ptCount val="5"/>
                <c:pt idx="0">
                  <c:v>9496</c:v>
                </c:pt>
                <c:pt idx="1">
                  <c:v>9282</c:v>
                </c:pt>
                <c:pt idx="2">
                  <c:v>8921</c:v>
                </c:pt>
                <c:pt idx="3">
                  <c:v>8854</c:v>
                </c:pt>
                <c:pt idx="4">
                  <c:v>9087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D7-45CB-911F-379C0959C8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103223680"/>
        <c:axId val="103225216"/>
      </c:barChart>
      <c:catAx>
        <c:axId val="103223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103225216"/>
        <c:crosses val="autoZero"/>
        <c:auto val="1"/>
        <c:lblAlgn val="ctr"/>
        <c:lblOffset val="100"/>
        <c:noMultiLvlLbl val="0"/>
      </c:catAx>
      <c:valAx>
        <c:axId val="103225216"/>
        <c:scaling>
          <c:orientation val="minMax"/>
          <c:max val="10000"/>
          <c:min val="0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out"/>
        <c:minorTickMark val="none"/>
        <c:tickLblPos val="nextTo"/>
        <c:crossAx val="103223680"/>
        <c:crosses val="autoZero"/>
        <c:crossBetween val="between"/>
        <c:majorUnit val="200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ahoma" panose="020B0604030504040204" pitchFamily="34" charset="0"/>
          <a:ea typeface="Tahoma" panose="020B0604030504040204" pitchFamily="34" charset="0"/>
          <a:cs typeface="Tahoma" panose="020B0604030504040204" pitchFamily="34" charset="0"/>
        </a:defRPr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232949524525521"/>
          <c:y val="3.0709718332188347E-2"/>
          <c:w val="0.69767050475474479"/>
          <c:h val="0.94968415860769084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6559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[RZS.xlsx]графикони!$I$54:$I$63</c:f>
              <c:strCache>
                <c:ptCount val="10"/>
                <c:pt idx="0">
                  <c:v>Друго</c:v>
                </c:pt>
                <c:pt idx="1">
                  <c:v>Саобраћај, складиштење</c:v>
                </c:pt>
                <c:pt idx="2">
                  <c:v>Стручне, научне и техн. дел.</c:v>
                </c:pt>
                <c:pt idx="3">
                  <c:v>Држ. управа, одбрана</c:v>
                </c:pt>
                <c:pt idx="4">
                  <c:v>Грађевинарство</c:v>
                </c:pt>
                <c:pt idx="5">
                  <c:v>Образовање</c:v>
                </c:pt>
                <c:pt idx="6">
                  <c:v>Пољопривреда *</c:v>
                </c:pt>
                <c:pt idx="7">
                  <c:v>Здравство и соц. заштита</c:v>
                </c:pt>
                <c:pt idx="8">
                  <c:v>Трговина</c:v>
                </c:pt>
                <c:pt idx="9">
                  <c:v>Прерађивачка инд.</c:v>
                </c:pt>
              </c:strCache>
            </c:strRef>
          </c:cat>
          <c:val>
            <c:numRef>
              <c:f>[RZS.xlsx]графикони!$J$54:$J$63</c:f>
              <c:numCache>
                <c:formatCode>0.0%</c:formatCode>
                <c:ptCount val="10"/>
                <c:pt idx="0">
                  <c:v>0.11092769891053156</c:v>
                </c:pt>
                <c:pt idx="1">
                  <c:v>3.9066798723451084E-2</c:v>
                </c:pt>
                <c:pt idx="2">
                  <c:v>4.1487839771101577E-2</c:v>
                </c:pt>
                <c:pt idx="3">
                  <c:v>4.3578738857708813E-2</c:v>
                </c:pt>
                <c:pt idx="4">
                  <c:v>6.6798723451083966E-2</c:v>
                </c:pt>
                <c:pt idx="5">
                  <c:v>7.7363266204467915E-2</c:v>
                </c:pt>
                <c:pt idx="6">
                  <c:v>0.10234400792340706</c:v>
                </c:pt>
                <c:pt idx="7">
                  <c:v>0.11632001760757125</c:v>
                </c:pt>
                <c:pt idx="8">
                  <c:v>0.15527676901067458</c:v>
                </c:pt>
                <c:pt idx="9">
                  <c:v>0.24683613954000219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24-4BF8-8E0B-953868F5A2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axId val="103250176"/>
        <c:axId val="103251968"/>
      </c:barChart>
      <c:catAx>
        <c:axId val="1032501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103251968"/>
        <c:crosses val="autoZero"/>
        <c:auto val="1"/>
        <c:lblAlgn val="ctr"/>
        <c:lblOffset val="100"/>
        <c:noMultiLvlLbl val="0"/>
      </c:catAx>
      <c:valAx>
        <c:axId val="103251968"/>
        <c:scaling>
          <c:orientation val="minMax"/>
          <c:max val="0.25"/>
        </c:scaling>
        <c:delete val="1"/>
        <c:axPos val="b"/>
        <c:numFmt formatCode="0.0%" sourceLinked="1"/>
        <c:majorTickMark val="out"/>
        <c:minorTickMark val="none"/>
        <c:tickLblPos val="nextTo"/>
        <c:crossAx val="103250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ahoma" panose="020B0604030504040204" pitchFamily="34" charset="0"/>
          <a:ea typeface="Tahoma" panose="020B0604030504040204" pitchFamily="34" charset="0"/>
          <a:cs typeface="Tahoma" panose="020B0604030504040204" pitchFamily="34" charset="0"/>
        </a:defRPr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6559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'[RZS.xlsx]Трж рада прерачунавање'!$A$89:$A$92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'[RZS.xlsx]Трж рада прерачунавање'!$L$89:$L$92</c:f>
              <c:numCache>
                <c:formatCode>#,##0</c:formatCode>
                <c:ptCount val="4"/>
                <c:pt idx="0">
                  <c:v>42272</c:v>
                </c:pt>
                <c:pt idx="1">
                  <c:v>46319</c:v>
                </c:pt>
                <c:pt idx="2">
                  <c:v>50089</c:v>
                </c:pt>
                <c:pt idx="3">
                  <c:v>53700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39-4FF3-993B-BC3030445E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103285120"/>
        <c:axId val="103286656"/>
      </c:barChart>
      <c:catAx>
        <c:axId val="103285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103286656"/>
        <c:crosses val="autoZero"/>
        <c:auto val="1"/>
        <c:lblAlgn val="ctr"/>
        <c:lblOffset val="100"/>
        <c:noMultiLvlLbl val="0"/>
      </c:catAx>
      <c:valAx>
        <c:axId val="103286656"/>
        <c:scaling>
          <c:orientation val="minMax"/>
          <c:max val="55000"/>
          <c:min val="0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out"/>
        <c:minorTickMark val="none"/>
        <c:tickLblPos val="nextTo"/>
        <c:crossAx val="103285120"/>
        <c:crosses val="autoZero"/>
        <c:crossBetween val="between"/>
        <c:majorUnit val="1000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ahoma" panose="020B0604030504040204" pitchFamily="34" charset="0"/>
          <a:ea typeface="Tahoma" panose="020B0604030504040204" pitchFamily="34" charset="0"/>
          <a:cs typeface="Tahoma" panose="020B0604030504040204" pitchFamily="34" charset="0"/>
        </a:defRPr>
      </a:pPr>
      <a:endParaRPr lang="en-US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0.18267</cdr:x>
      <cdr:y>0.21053</cdr:y>
    </cdr:from>
    <cdr:to>
      <cdr:x>0.29316</cdr:x>
      <cdr:y>0.28822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94FC084D-38D3-A4CB-586C-D61FB89D7B64}"/>
            </a:ext>
          </a:extLst>
        </cdr:cNvPr>
        <cdr:cNvSpPr txBox="1"/>
      </cdr:nvSpPr>
      <cdr:spPr>
        <a:xfrm xmlns:a="http://schemas.openxmlformats.org/drawingml/2006/main">
          <a:off x="923925" y="533400"/>
          <a:ext cx="558800" cy="196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cdr:txBody>
    </cdr:sp>
  </cdr:relSizeAnchor>
  <cdr:relSizeAnchor xmlns:cdr="http://schemas.openxmlformats.org/drawingml/2006/chartDrawing">
    <cdr:from>
      <cdr:x>0.30059</cdr:x>
      <cdr:y>0.28496</cdr:y>
    </cdr:from>
    <cdr:to>
      <cdr:x>0.44262</cdr:x>
      <cdr:y>0.39655</cdr:y>
    </cdr:to>
    <cdr:sp macro="" textlink="">
      <cdr:nvSpPr>
        <cdr:cNvPr id="3" name="TextBox 2">
          <a:extLst xmlns:a="http://schemas.openxmlformats.org/drawingml/2006/main">
            <a:ext uri="{FF2B5EF4-FFF2-40B4-BE49-F238E27FC236}">
              <a16:creationId xmlns:a16="http://schemas.microsoft.com/office/drawing/2014/main" id="{69CA47F4-432A-7A31-1678-53B7D671732E}"/>
            </a:ext>
          </a:extLst>
        </cdr:cNvPr>
        <cdr:cNvSpPr txBox="1"/>
      </cdr:nvSpPr>
      <cdr:spPr>
        <a:xfrm xmlns:a="http://schemas.openxmlformats.org/drawingml/2006/main">
          <a:off x="1328488" y="524754"/>
          <a:ext cx="627715" cy="205496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sr-Cyrl-RS" sz="9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301</a:t>
          </a:r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cdr:txBody>
    </cdr:sp>
  </cdr:relSizeAnchor>
  <cdr:relSizeAnchor xmlns:cdr="http://schemas.openxmlformats.org/drawingml/2006/chartDrawing">
    <cdr:from>
      <cdr:x>0.53577</cdr:x>
      <cdr:y>0.0934</cdr:y>
    </cdr:from>
    <cdr:to>
      <cdr:x>0.67426</cdr:x>
      <cdr:y>0.16211</cdr:y>
    </cdr:to>
    <cdr:sp macro="" textlink="">
      <cdr:nvSpPr>
        <cdr:cNvPr id="4" name="TextBox 1">
          <a:extLst xmlns:a="http://schemas.openxmlformats.org/drawingml/2006/main">
            <a:ext uri="{FF2B5EF4-FFF2-40B4-BE49-F238E27FC236}">
              <a16:creationId xmlns:a16="http://schemas.microsoft.com/office/drawing/2014/main" id="{8B63A294-5FBB-F46F-C408-9962D7552919}"/>
            </a:ext>
          </a:extLst>
        </cdr:cNvPr>
        <cdr:cNvSpPr txBox="1"/>
      </cdr:nvSpPr>
      <cdr:spPr>
        <a:xfrm xmlns:a="http://schemas.openxmlformats.org/drawingml/2006/main">
          <a:off x="2367869" y="193934"/>
          <a:ext cx="612071" cy="142673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sr-Cyrl-RS" sz="9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662</a:t>
          </a:r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cdr:txBody>
    </cdr:sp>
  </cdr:relSizeAnchor>
  <cdr:relSizeAnchor xmlns:cdr="http://schemas.openxmlformats.org/drawingml/2006/chartDrawing">
    <cdr:from>
      <cdr:x>0.75636</cdr:x>
      <cdr:y>0</cdr:y>
    </cdr:from>
    <cdr:to>
      <cdr:x>0.91368</cdr:x>
      <cdr:y>0.07983</cdr:y>
    </cdr:to>
    <cdr:sp macro="" textlink="">
      <cdr:nvSpPr>
        <cdr:cNvPr id="5" name="TextBox 1">
          <a:extLst xmlns:a="http://schemas.openxmlformats.org/drawingml/2006/main">
            <a:ext uri="{FF2B5EF4-FFF2-40B4-BE49-F238E27FC236}">
              <a16:creationId xmlns:a16="http://schemas.microsoft.com/office/drawing/2014/main" id="{8B63A294-5FBB-F46F-C408-9962D7552919}"/>
            </a:ext>
          </a:extLst>
        </cdr:cNvPr>
        <cdr:cNvSpPr txBox="1"/>
      </cdr:nvSpPr>
      <cdr:spPr>
        <a:xfrm xmlns:a="http://schemas.openxmlformats.org/drawingml/2006/main">
          <a:off x="3342830" y="-4867275"/>
          <a:ext cx="695291" cy="165763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sr-Cyrl-RS" sz="9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851</a:t>
          </a:r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cdr:txBody>
    </cdr:sp>
  </cdr:relSizeAnchor>
  <cdr:relSizeAnchor xmlns:cdr="http://schemas.openxmlformats.org/drawingml/2006/chartDrawing">
    <cdr:from>
      <cdr:x>0.05557</cdr:x>
      <cdr:y>0.19476</cdr:y>
    </cdr:from>
    <cdr:to>
      <cdr:x>0.21289</cdr:x>
      <cdr:y>0.27459</cdr:y>
    </cdr:to>
    <cdr:sp macro="" textlink="">
      <cdr:nvSpPr>
        <cdr:cNvPr id="6" name="TextBox 1">
          <a:extLst xmlns:a="http://schemas.openxmlformats.org/drawingml/2006/main">
            <a:ext uri="{FF2B5EF4-FFF2-40B4-BE49-F238E27FC236}">
              <a16:creationId xmlns:a16="http://schemas.microsoft.com/office/drawing/2014/main" id="{2EF8FC3D-984C-DE90-4DFA-64831C93F522}"/>
            </a:ext>
          </a:extLst>
        </cdr:cNvPr>
        <cdr:cNvSpPr txBox="1"/>
      </cdr:nvSpPr>
      <cdr:spPr>
        <a:xfrm xmlns:a="http://schemas.openxmlformats.org/drawingml/2006/main">
          <a:off x="245599" y="404418"/>
          <a:ext cx="695291" cy="165763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sr-Cyrl-RS" sz="9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458</a:t>
          </a:r>
          <a:endParaRPr lang="en-GB" sz="9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A336CCEFF214494797E5BB79162B8" ma:contentTypeVersion="12" ma:contentTypeDescription="Create a new document." ma:contentTypeScope="" ma:versionID="79008e3f376eaef897f4c7a7fa3ad5aa">
  <xsd:schema xmlns:xsd="http://www.w3.org/2001/XMLSchema" xmlns:xs="http://www.w3.org/2001/XMLSchema" xmlns:p="http://schemas.microsoft.com/office/2006/metadata/properties" xmlns:ns2="63dd2753-8875-4d2e-8ba6-fd14822bbc7a" xmlns:ns3="01978329-ac0a-4147-87e8-31313703e7e2" targetNamespace="http://schemas.microsoft.com/office/2006/metadata/properties" ma:root="true" ma:fieldsID="a07209d5f07374f1af59ead9b161cd38" ns2:_="" ns3:_="">
    <xsd:import namespace="63dd2753-8875-4d2e-8ba6-fd14822bbc7a"/>
    <xsd:import namespace="01978329-ac0a-4147-87e8-31313703e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d2753-8875-4d2e-8ba6-fd14822bb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78329-ac0a-4147-87e8-31313703e7e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41D9AA-4D98-4440-B21A-F00A7C10D8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936A2F-F9B4-4551-B0E7-11DAC3FD82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05346E-104E-4D2D-88E2-C564D3D58E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680A0D-9F92-4088-92C1-56AD0AF1C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dd2753-8875-4d2e-8ba6-fd14822bbc7a"/>
    <ds:schemaRef ds:uri="01978329-ac0a-4147-87e8-31313703e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4911</Words>
  <Characters>27993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 Matković</dc:creator>
  <cp:lastModifiedBy>Aleksandra</cp:lastModifiedBy>
  <cp:revision>3</cp:revision>
  <cp:lastPrinted>2022-10-24T10:04:00Z</cp:lastPrinted>
  <dcterms:created xsi:type="dcterms:W3CDTF">2022-11-30T13:27:00Z</dcterms:created>
  <dcterms:modified xsi:type="dcterms:W3CDTF">2022-11-30T13:28:00Z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0x010100B61A336CCEFF214494797E5BB79162B8</vt:lpwstr>
  </property>
</Properties>
</file>